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bookmarkStart w:id="1" w:name="OLE_LINK2"/>
    <w:p w14:paraId="194DBA29" w14:textId="10FC8129" w:rsidR="00CA3C5D" w:rsidRDefault="00CA3C5D" w:rsidP="00CA3C5D">
      <w:pPr>
        <w:spacing w:after="0" w:line="276" w:lineRule="auto"/>
        <w:jc w:val="center"/>
        <w:rPr>
          <w:rFonts w:ascii="Tahoma" w:hAnsi="Tahoma" w:cs="Tahoma"/>
          <w:b/>
          <w:sz w:val="28"/>
          <w:szCs w:val="24"/>
        </w:rPr>
      </w:pPr>
      <w:r>
        <w:rPr>
          <w:rFonts w:ascii="Tahoma" w:hAnsi="Tahoma" w:cs="Tahoma"/>
          <w:b/>
          <w:noProof/>
          <w:sz w:val="28"/>
          <w:szCs w:val="28"/>
        </w:rPr>
        <mc:AlternateContent>
          <mc:Choice Requires="wps">
            <w:drawing>
              <wp:anchor distT="0" distB="0" distL="114300" distR="114300" simplePos="0" relativeHeight="251661823" behindDoc="0" locked="0" layoutInCell="1" allowOverlap="1" wp14:anchorId="7F31E1DA" wp14:editId="21287D3D">
                <wp:simplePos x="0" y="0"/>
                <wp:positionH relativeFrom="column">
                  <wp:posOffset>62115</wp:posOffset>
                </wp:positionH>
                <wp:positionV relativeFrom="paragraph">
                  <wp:posOffset>116</wp:posOffset>
                </wp:positionV>
                <wp:extent cx="347345" cy="373900"/>
                <wp:effectExtent l="0" t="0" r="0" b="7620"/>
                <wp:wrapNone/>
                <wp:docPr id="5" name="Oval 5"/>
                <wp:cNvGraphicFramePr/>
                <a:graphic xmlns:a="http://schemas.openxmlformats.org/drawingml/2006/main">
                  <a:graphicData uri="http://schemas.microsoft.com/office/word/2010/wordprocessingShape">
                    <wps:wsp>
                      <wps:cNvSpPr/>
                      <wps:spPr>
                        <a:xfrm>
                          <a:off x="0" y="0"/>
                          <a:ext cx="347345" cy="3739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861D5D" id="Oval 5" o:spid="_x0000_s1026" style="position:absolute;margin-left:4.9pt;margin-top:0;width:27.35pt;height:29.45pt;z-index:2516618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" fillcolor="white [3212]" stroked="f" strokeweight="1pt">
                <v:stroke joinstyle="miter"/>
              </v:oval>
            </w:pict>
          </mc:Fallback>
        </mc:AlternateContent>
      </w:r>
      <w:r>
        <w:rPr>
          <w:rFonts w:ascii="Tahoma" w:hAnsi="Tahoma" w:cs="Tahoma"/>
          <w:b/>
          <w:noProof/>
          <w:sz w:val="28"/>
          <w:szCs w:val="28"/>
        </w:rPr>
        <mc:AlternateContent>
          <mc:Choice Requires="wps">
            <w:drawing>
              <wp:anchor distT="0" distB="0" distL="114300" distR="114300" simplePos="0" relativeHeight="251661312" behindDoc="0" locked="0" layoutInCell="1" allowOverlap="1" wp14:anchorId="55EB6F2B" wp14:editId="57DDCCFD">
                <wp:simplePos x="0" y="0"/>
                <wp:positionH relativeFrom="column">
                  <wp:posOffset>175260</wp:posOffset>
                </wp:positionH>
                <wp:positionV relativeFrom="paragraph">
                  <wp:posOffset>13970</wp:posOffset>
                </wp:positionV>
                <wp:extent cx="6188075" cy="347980"/>
                <wp:effectExtent l="0" t="0" r="3175" b="0"/>
                <wp:wrapNone/>
                <wp:docPr id="11" name="Rectangle 11"/>
                <wp:cNvGraphicFramePr/>
                <a:graphic xmlns:a="http://schemas.openxmlformats.org/drawingml/2006/main">
                  <a:graphicData uri="http://schemas.microsoft.com/office/word/2010/wordprocessingShape">
                    <wps:wsp>
                      <wps:cNvSpPr/>
                      <wps:spPr>
                        <a:xfrm>
                          <a:off x="0" y="0"/>
                          <a:ext cx="6188075" cy="347980"/>
                        </a:xfrm>
                        <a:prstGeom prst="rect">
                          <a:avLst/>
                        </a:prstGeom>
                        <a:solidFill>
                          <a:srgbClr val="2D32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ECB2E" w14:textId="77777777" w:rsidR="00CA3C5D" w:rsidRPr="00CB689C" w:rsidRDefault="00CA3C5D"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sidRPr="001F0133">
                              <w:rPr>
                                <w:rFonts w:ascii="Tahoma" w:hAnsi="Tahoma" w:cs="Tahoma"/>
                                <w:b/>
                                <w:color w:val="FFFFFF" w:themeColor="background1"/>
                                <w:sz w:val="28"/>
                                <w:szCs w:val="24"/>
                              </w:rPr>
                              <w:t>Original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B6F2B" id="Rectangle 11" o:spid="_x0000_s1026" style="position:absolute;left:0;text-align:left;margin-left:13.8pt;margin-top:1.1pt;width:487.2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" fillcolor="#2d328e" stroked="f" strokeweight="1pt">
                <v:textbox>
                  <w:txbxContent>
                    <w:p w14:paraId="087ECB2E" w14:textId="77777777" w:rsidR="00CA3C5D" w:rsidRPr="00CB689C" w:rsidRDefault="00CA3C5D"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sidRPr="001F0133">
                        <w:rPr>
                          <w:rFonts w:ascii="Tahoma" w:hAnsi="Tahoma" w:cs="Tahoma"/>
                          <w:b/>
                          <w:color w:val="FFFFFF" w:themeColor="background1"/>
                          <w:sz w:val="28"/>
                          <w:szCs w:val="24"/>
                        </w:rPr>
                        <w:t>Original Article</w:t>
                      </w:r>
                    </w:p>
                  </w:txbxContent>
                </v:textbox>
              </v:rect>
            </w:pict>
          </mc:Fallback>
        </mc:AlternateContent>
      </w:r>
      <w:r>
        <w:rPr>
          <w:rFonts w:ascii="Tahoma" w:hAnsi="Tahoma" w:cs="Tahoma"/>
          <w:b/>
          <w:noProof/>
          <w:sz w:val="28"/>
          <w:szCs w:val="28"/>
        </w:rPr>
        <w:drawing>
          <wp:anchor distT="0" distB="0" distL="114300" distR="114300" simplePos="0" relativeHeight="251662336" behindDoc="0" locked="0" layoutInCell="1" allowOverlap="1" wp14:anchorId="662125C3" wp14:editId="606ADBB6">
            <wp:simplePos x="0" y="0"/>
            <wp:positionH relativeFrom="column">
              <wp:posOffset>1905</wp:posOffset>
            </wp:positionH>
            <wp:positionV relativeFrom="paragraph">
              <wp:posOffset>13882</wp:posOffset>
            </wp:positionV>
            <wp:extent cx="347345" cy="347345"/>
            <wp:effectExtent l="0" t="0" r="6350" b="6350"/>
            <wp:wrapNone/>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14:sizeRelH relativeFrom="margin">
              <wp14:pctWidth>0</wp14:pctWidth>
            </wp14:sizeRelH>
            <wp14:sizeRelV relativeFrom="margin">
              <wp14:pctHeight>0</wp14:pctHeight>
            </wp14:sizeRelV>
          </wp:anchor>
        </w:drawing>
      </w:r>
    </w:p>
    <w:p w14:paraId="531AB361" w14:textId="489556F8"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553131D9"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770F1FAA"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i/>
          <w:iCs/>
          <w:color w:val="363435"/>
          <w:sz w:val="30"/>
          <w:szCs w:val="30"/>
        </w:rPr>
        <w:sectPr w:rsidR="00CA3C5D" w:rsidSect="00F105D1">
          <w:headerReference w:type="even" r:id="rId9"/>
          <w:headerReference w:type="default" r:id="rId10"/>
          <w:footerReference w:type="even" r:id="rId11"/>
          <w:footerReference w:type="default" r:id="rId12"/>
          <w:footerReference w:type="first" r:id="rId13"/>
          <w:type w:val="continuous"/>
          <w:pgSz w:w="11906" w:h="16838" w:code="9"/>
          <w:pgMar w:top="1418" w:right="907" w:bottom="868" w:left="964" w:header="709" w:footer="709" w:gutter="0"/>
          <w:cols w:num="2" w:space="708"/>
          <w:titlePg/>
          <w:docGrid w:linePitch="360"/>
        </w:sectPr>
      </w:pPr>
    </w:p>
    <w:p w14:paraId="33E685E7" w14:textId="37E04467" w:rsidR="00E344E0" w:rsidRDefault="007674B1" w:rsidP="008A1117">
      <w:pPr>
        <w:pStyle w:val="NormalWeb"/>
        <w:contextualSpacing/>
        <w:jc w:val="center"/>
        <w:rPr>
          <w:rFonts w:ascii="Arial" w:hAnsi="Arial" w:cs="Arial"/>
          <w:b/>
          <w:bCs/>
          <w:sz w:val="30"/>
          <w:szCs w:val="30"/>
        </w:rPr>
      </w:pPr>
      <w:r w:rsidRPr="007674B1">
        <w:rPr>
          <w:rFonts w:ascii="Arial" w:hAnsi="Arial" w:cs="Arial"/>
          <w:b/>
          <w:bCs/>
          <w:sz w:val="30"/>
          <w:szCs w:val="30"/>
        </w:rPr>
        <w:t>Adverse Events Following Immunization</w:t>
      </w:r>
      <w:r>
        <w:rPr>
          <w:rFonts w:ascii="Arial" w:hAnsi="Arial" w:cs="Arial"/>
          <w:b/>
          <w:bCs/>
          <w:sz w:val="30"/>
          <w:szCs w:val="30"/>
        </w:rPr>
        <w:t xml:space="preserve"> o</w:t>
      </w:r>
      <w:r w:rsidRPr="007674B1">
        <w:rPr>
          <w:rFonts w:ascii="Arial" w:hAnsi="Arial" w:cs="Arial"/>
          <w:b/>
          <w:bCs/>
          <w:sz w:val="30"/>
          <w:szCs w:val="30"/>
        </w:rPr>
        <w:t xml:space="preserve">f </w:t>
      </w:r>
      <w:r>
        <w:rPr>
          <w:rFonts w:ascii="Arial" w:hAnsi="Arial" w:cs="Arial"/>
          <w:b/>
          <w:bCs/>
          <w:sz w:val="30"/>
          <w:szCs w:val="30"/>
        </w:rPr>
        <w:t>mRNA</w:t>
      </w:r>
      <w:r w:rsidRPr="007674B1">
        <w:rPr>
          <w:rFonts w:ascii="Arial" w:hAnsi="Arial" w:cs="Arial"/>
          <w:b/>
          <w:bCs/>
          <w:sz w:val="30"/>
          <w:szCs w:val="30"/>
        </w:rPr>
        <w:t xml:space="preserve"> And Inactivated Vaccines Against Covıd-19 </w:t>
      </w:r>
      <w:r>
        <w:rPr>
          <w:rFonts w:ascii="Arial" w:hAnsi="Arial" w:cs="Arial"/>
          <w:b/>
          <w:bCs/>
          <w:sz w:val="30"/>
          <w:szCs w:val="30"/>
        </w:rPr>
        <w:t>a</w:t>
      </w:r>
      <w:r w:rsidRPr="007674B1">
        <w:rPr>
          <w:rFonts w:ascii="Arial" w:hAnsi="Arial" w:cs="Arial"/>
          <w:b/>
          <w:bCs/>
          <w:sz w:val="30"/>
          <w:szCs w:val="30"/>
        </w:rPr>
        <w:t xml:space="preserve">t The University </w:t>
      </w:r>
      <w:r>
        <w:rPr>
          <w:rFonts w:ascii="Arial" w:hAnsi="Arial" w:cs="Arial"/>
          <w:b/>
          <w:bCs/>
          <w:sz w:val="30"/>
          <w:szCs w:val="30"/>
        </w:rPr>
        <w:t>o</w:t>
      </w:r>
      <w:r w:rsidRPr="007674B1">
        <w:rPr>
          <w:rFonts w:ascii="Arial" w:hAnsi="Arial" w:cs="Arial"/>
          <w:b/>
          <w:bCs/>
          <w:sz w:val="30"/>
          <w:szCs w:val="30"/>
        </w:rPr>
        <w:t>f Indonesia Hospital: A Cross-Sectional Study</w:t>
      </w:r>
    </w:p>
    <w:p w14:paraId="31ACFFE1" w14:textId="77777777" w:rsidR="007674B1" w:rsidRPr="007674B1" w:rsidRDefault="007674B1" w:rsidP="007674B1">
      <w:pPr>
        <w:pStyle w:val="NormalWeb"/>
        <w:contextualSpacing/>
        <w:jc w:val="center"/>
        <w:rPr>
          <w:rFonts w:ascii="Arial" w:hAnsi="Arial" w:cs="Arial"/>
          <w:sz w:val="30"/>
          <w:szCs w:val="30"/>
        </w:rPr>
      </w:pPr>
    </w:p>
    <w:p w14:paraId="2D761693" w14:textId="54E13A1F" w:rsidR="007674B1" w:rsidRDefault="007674B1" w:rsidP="007674B1">
      <w:pPr>
        <w:pStyle w:val="NormalWeb"/>
        <w:contextualSpacing/>
        <w:jc w:val="center"/>
        <w:rPr>
          <w:rFonts w:ascii="Arial" w:hAnsi="Arial" w:cs="Arial"/>
          <w:b/>
          <w:bCs/>
          <w:position w:val="8"/>
          <w:sz w:val="20"/>
          <w:szCs w:val="20"/>
        </w:rPr>
      </w:pPr>
      <w:proofErr w:type="spellStart"/>
      <w:r w:rsidRPr="007674B1">
        <w:rPr>
          <w:rFonts w:ascii="Arial" w:hAnsi="Arial" w:cs="Arial"/>
          <w:b/>
          <w:bCs/>
          <w:sz w:val="20"/>
          <w:szCs w:val="20"/>
        </w:rPr>
        <w:t>Vriona</w:t>
      </w:r>
      <w:proofErr w:type="spellEnd"/>
      <w:r w:rsidRPr="007674B1">
        <w:rPr>
          <w:rFonts w:ascii="Arial" w:hAnsi="Arial" w:cs="Arial"/>
          <w:b/>
          <w:bCs/>
          <w:sz w:val="20"/>
          <w:szCs w:val="20"/>
        </w:rPr>
        <w:t xml:space="preserve"> Ade </w:t>
      </w:r>
      <w:proofErr w:type="spellStart"/>
      <w:r w:rsidRPr="007674B1">
        <w:rPr>
          <w:rFonts w:ascii="Arial" w:hAnsi="Arial" w:cs="Arial"/>
          <w:b/>
          <w:bCs/>
          <w:sz w:val="20"/>
          <w:szCs w:val="20"/>
        </w:rPr>
        <w:t>Maenkar</w:t>
      </w:r>
      <w:proofErr w:type="spellEnd"/>
      <w:r w:rsidRPr="007674B1">
        <w:rPr>
          <w:rFonts w:ascii="Arial" w:hAnsi="Arial" w:cs="Arial"/>
          <w:b/>
          <w:bCs/>
          <w:position w:val="8"/>
          <w:sz w:val="20"/>
          <w:szCs w:val="20"/>
        </w:rPr>
        <w:t>1</w:t>
      </w:r>
      <w:r w:rsidRPr="007674B1">
        <w:rPr>
          <w:rFonts w:ascii="Arial" w:hAnsi="Arial" w:cs="Arial"/>
          <w:b/>
          <w:bCs/>
          <w:sz w:val="20"/>
          <w:szCs w:val="20"/>
        </w:rPr>
        <w:t xml:space="preserve">, </w:t>
      </w:r>
      <w:proofErr w:type="spellStart"/>
      <w:r w:rsidRPr="007674B1">
        <w:rPr>
          <w:rFonts w:ascii="Arial" w:hAnsi="Arial" w:cs="Arial"/>
          <w:b/>
          <w:bCs/>
          <w:sz w:val="20"/>
          <w:szCs w:val="20"/>
        </w:rPr>
        <w:t>Retnosari</w:t>
      </w:r>
      <w:proofErr w:type="spellEnd"/>
      <w:r w:rsidRPr="007674B1">
        <w:rPr>
          <w:rFonts w:ascii="Arial" w:hAnsi="Arial" w:cs="Arial"/>
          <w:b/>
          <w:bCs/>
          <w:sz w:val="20"/>
          <w:szCs w:val="20"/>
        </w:rPr>
        <w:t xml:space="preserve"> </w:t>
      </w:r>
      <w:proofErr w:type="spellStart"/>
      <w:r w:rsidRPr="007674B1">
        <w:rPr>
          <w:rFonts w:ascii="Arial" w:hAnsi="Arial" w:cs="Arial"/>
          <w:b/>
          <w:bCs/>
          <w:sz w:val="20"/>
          <w:szCs w:val="20"/>
        </w:rPr>
        <w:t>Andrajati</w:t>
      </w:r>
      <w:proofErr w:type="spellEnd"/>
      <w:r w:rsidRPr="007674B1">
        <w:rPr>
          <w:rFonts w:ascii="Arial" w:hAnsi="Arial" w:cs="Arial"/>
          <w:b/>
          <w:bCs/>
          <w:position w:val="8"/>
          <w:sz w:val="20"/>
          <w:szCs w:val="20"/>
        </w:rPr>
        <w:t>1,2*</w:t>
      </w:r>
      <w:r w:rsidRPr="007674B1">
        <w:rPr>
          <w:rFonts w:ascii="Arial" w:hAnsi="Arial" w:cs="Arial"/>
          <w:b/>
          <w:bCs/>
          <w:sz w:val="20"/>
          <w:szCs w:val="20"/>
        </w:rPr>
        <w:t xml:space="preserve">, Nadia </w:t>
      </w:r>
      <w:proofErr w:type="spellStart"/>
      <w:r w:rsidRPr="007674B1">
        <w:rPr>
          <w:rFonts w:ascii="Arial" w:hAnsi="Arial" w:cs="Arial"/>
          <w:b/>
          <w:bCs/>
          <w:sz w:val="20"/>
          <w:szCs w:val="20"/>
        </w:rPr>
        <w:t>Farhanah</w:t>
      </w:r>
      <w:proofErr w:type="spellEnd"/>
      <w:r w:rsidRPr="007674B1">
        <w:rPr>
          <w:rFonts w:ascii="Arial" w:hAnsi="Arial" w:cs="Arial"/>
          <w:b/>
          <w:bCs/>
          <w:sz w:val="20"/>
          <w:szCs w:val="20"/>
        </w:rPr>
        <w:t xml:space="preserve"> </w:t>
      </w:r>
      <w:proofErr w:type="spellStart"/>
      <w:r w:rsidRPr="007674B1">
        <w:rPr>
          <w:rFonts w:ascii="Arial" w:hAnsi="Arial" w:cs="Arial"/>
          <w:b/>
          <w:bCs/>
          <w:sz w:val="20"/>
          <w:szCs w:val="20"/>
        </w:rPr>
        <w:t>Syafhan</w:t>
      </w:r>
      <w:proofErr w:type="spellEnd"/>
      <w:r w:rsidRPr="007674B1">
        <w:rPr>
          <w:rFonts w:ascii="Arial" w:hAnsi="Arial" w:cs="Arial"/>
          <w:b/>
          <w:bCs/>
          <w:position w:val="8"/>
          <w:sz w:val="20"/>
          <w:szCs w:val="20"/>
        </w:rPr>
        <w:t>1,2</w:t>
      </w:r>
    </w:p>
    <w:p w14:paraId="5F7F99DE" w14:textId="77777777" w:rsidR="007674B1" w:rsidRPr="007674B1" w:rsidRDefault="007674B1" w:rsidP="007674B1">
      <w:pPr>
        <w:pStyle w:val="NormalWeb"/>
        <w:contextualSpacing/>
        <w:jc w:val="center"/>
        <w:rPr>
          <w:rFonts w:ascii="Arial" w:hAnsi="Arial" w:cs="Arial"/>
          <w:sz w:val="20"/>
          <w:szCs w:val="20"/>
        </w:rPr>
      </w:pPr>
    </w:p>
    <w:p w14:paraId="601634B0" w14:textId="006F7E44" w:rsidR="007674B1" w:rsidRPr="007674B1" w:rsidRDefault="007674B1" w:rsidP="007674B1">
      <w:pPr>
        <w:pStyle w:val="NormalWeb"/>
        <w:contextualSpacing/>
        <w:jc w:val="center"/>
        <w:rPr>
          <w:rFonts w:ascii="Arial" w:hAnsi="Arial" w:cs="Arial"/>
          <w:i/>
          <w:iCs/>
          <w:sz w:val="20"/>
          <w:szCs w:val="20"/>
        </w:rPr>
      </w:pPr>
      <w:r w:rsidRPr="007674B1">
        <w:rPr>
          <w:rFonts w:ascii="Arial" w:hAnsi="Arial" w:cs="Arial"/>
          <w:b/>
          <w:bCs/>
          <w:i/>
          <w:iCs/>
          <w:position w:val="8"/>
          <w:sz w:val="20"/>
          <w:szCs w:val="20"/>
        </w:rPr>
        <w:t xml:space="preserve">1 </w:t>
      </w:r>
      <w:r w:rsidRPr="007674B1">
        <w:rPr>
          <w:rFonts w:ascii="Arial" w:hAnsi="Arial" w:cs="Arial"/>
          <w:i/>
          <w:iCs/>
          <w:sz w:val="20"/>
          <w:szCs w:val="20"/>
        </w:rPr>
        <w:t>Faculty of Pharmacy, Universitas Indonesia, Depok, Indonesia</w:t>
      </w:r>
    </w:p>
    <w:p w14:paraId="64180005" w14:textId="00372AA0" w:rsidR="00CA3C5D" w:rsidRPr="007674B1" w:rsidRDefault="007674B1" w:rsidP="007674B1">
      <w:pPr>
        <w:pStyle w:val="NormalWeb"/>
        <w:contextualSpacing/>
        <w:jc w:val="center"/>
        <w:rPr>
          <w:rFonts w:ascii="Arial" w:hAnsi="Arial" w:cs="Arial"/>
          <w:i/>
          <w:iCs/>
          <w:sz w:val="20"/>
          <w:szCs w:val="20"/>
        </w:rPr>
      </w:pPr>
      <w:r w:rsidRPr="007674B1">
        <w:rPr>
          <w:rFonts w:ascii="Arial" w:hAnsi="Arial" w:cs="Arial"/>
          <w:b/>
          <w:bCs/>
          <w:i/>
          <w:iCs/>
          <w:position w:val="8"/>
          <w:sz w:val="20"/>
          <w:szCs w:val="20"/>
        </w:rPr>
        <w:t xml:space="preserve">2 </w:t>
      </w:r>
      <w:r w:rsidRPr="007674B1">
        <w:rPr>
          <w:rFonts w:ascii="Arial" w:hAnsi="Arial" w:cs="Arial"/>
          <w:i/>
          <w:iCs/>
          <w:sz w:val="20"/>
          <w:szCs w:val="20"/>
        </w:rPr>
        <w:t>Unit of Pharmacy and Central Sterile Supply Department, Universitas Indonesia Hospital, Depok, Indonesia.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3"/>
        <w:gridCol w:w="3412"/>
      </w:tblGrid>
      <w:tr w:rsidR="00CA3C5D" w:rsidRPr="00CA3C5D" w14:paraId="336C20B7" w14:textId="77777777" w:rsidTr="00CA3C5D">
        <w:tc>
          <w:tcPr>
            <w:tcW w:w="7020" w:type="dxa"/>
          </w:tcPr>
          <w:p w14:paraId="651F3B25" w14:textId="188023FB" w:rsidR="00CA3C5D" w:rsidRPr="008A1117" w:rsidRDefault="00CA3C5D" w:rsidP="00CA3C5D">
            <w:pPr>
              <w:widowControl w:val="0"/>
              <w:autoSpaceDE w:val="0"/>
              <w:autoSpaceDN w:val="0"/>
              <w:adjustRightInd w:val="0"/>
              <w:spacing w:before="120" w:after="120"/>
              <w:ind w:left="-103" w:right="29"/>
              <w:jc w:val="both"/>
              <w:rPr>
                <w:rFonts w:ascii="Arial" w:hAnsi="Arial" w:cs="Arial"/>
                <w:sz w:val="20"/>
                <w:szCs w:val="20"/>
              </w:rPr>
            </w:pPr>
            <w:r w:rsidRPr="008A1117">
              <w:rPr>
                <w:rFonts w:ascii="Arial" w:hAnsi="Arial" w:cs="Arial"/>
                <w:b/>
                <w:bCs/>
                <w:sz w:val="20"/>
                <w:szCs w:val="20"/>
              </w:rPr>
              <w:t xml:space="preserve">Abstract </w:t>
            </w:r>
          </w:p>
          <w:p w14:paraId="49C046F2" w14:textId="003A12BD" w:rsidR="007674B1" w:rsidRDefault="00CA3C5D" w:rsidP="008A1117">
            <w:pPr>
              <w:ind w:left="-102"/>
              <w:rPr>
                <w:rFonts w:ascii="Arial" w:hAnsi="Arial" w:cs="Arial"/>
                <w:sz w:val="16"/>
                <w:szCs w:val="16"/>
              </w:rPr>
            </w:pPr>
            <w:r w:rsidRPr="008A1117">
              <w:rPr>
                <w:rFonts w:ascii="Arial" w:hAnsi="Arial" w:cs="Arial"/>
                <w:b/>
                <w:bCs/>
                <w:sz w:val="16"/>
                <w:szCs w:val="16"/>
              </w:rPr>
              <w:t>Background:</w:t>
            </w:r>
            <w:r w:rsidRPr="008A1117">
              <w:rPr>
                <w:rFonts w:ascii="Arial" w:hAnsi="Arial" w:cs="Arial"/>
                <w:sz w:val="16"/>
                <w:szCs w:val="16"/>
              </w:rPr>
              <w:t xml:space="preserve"> </w:t>
            </w:r>
            <w:r w:rsidR="007674B1" w:rsidRPr="008A1117">
              <w:rPr>
                <w:rFonts w:ascii="Arial" w:hAnsi="Arial" w:cs="Arial"/>
                <w:sz w:val="16"/>
                <w:szCs w:val="16"/>
              </w:rPr>
              <w:t>The coronavirus that causes severe acute respiratory syndrome (COVID-19) is coronavirus 2 (SARS-</w:t>
            </w:r>
            <w:proofErr w:type="spellStart"/>
            <w:r w:rsidR="007674B1" w:rsidRPr="008A1117">
              <w:rPr>
                <w:rFonts w:ascii="Arial" w:hAnsi="Arial" w:cs="Arial"/>
                <w:sz w:val="16"/>
                <w:szCs w:val="16"/>
              </w:rPr>
              <w:t>CoV</w:t>
            </w:r>
            <w:proofErr w:type="spellEnd"/>
            <w:r w:rsidR="007674B1" w:rsidRPr="008A1117">
              <w:rPr>
                <w:rFonts w:ascii="Arial" w:hAnsi="Arial" w:cs="Arial"/>
                <w:sz w:val="16"/>
                <w:szCs w:val="16"/>
              </w:rPr>
              <w:t xml:space="preserve">- 2). This virus has caused a global pandemic. The adverse impact of this virus in the past two years has resulted in efforts to build herd immunity through vaccination. This study aims to identify the side effects after getting the Pfizer and Sinovac vaccines at the University of Indonesia Hospital and the risk factors for Adverse Events Following Immunization (AEFI). </w:t>
            </w:r>
          </w:p>
          <w:p w14:paraId="4EED9EF9" w14:textId="77777777" w:rsidR="008A1117" w:rsidRPr="008A1117" w:rsidRDefault="008A1117" w:rsidP="008A1117">
            <w:pPr>
              <w:ind w:left="-102"/>
              <w:rPr>
                <w:rFonts w:ascii="Arial" w:hAnsi="Arial" w:cs="Arial"/>
                <w:sz w:val="16"/>
                <w:szCs w:val="16"/>
              </w:rPr>
            </w:pPr>
          </w:p>
          <w:p w14:paraId="03C7E000" w14:textId="06F11C45" w:rsidR="007674B1" w:rsidRDefault="00CA3C5D" w:rsidP="008A1117">
            <w:pPr>
              <w:ind w:left="-102"/>
              <w:rPr>
                <w:rFonts w:ascii="Arial" w:hAnsi="Arial" w:cs="Arial"/>
                <w:sz w:val="16"/>
                <w:szCs w:val="16"/>
              </w:rPr>
            </w:pPr>
            <w:r w:rsidRPr="008A1117">
              <w:rPr>
                <w:rFonts w:ascii="Arial" w:hAnsi="Arial" w:cs="Arial"/>
                <w:b/>
                <w:bCs/>
                <w:sz w:val="16"/>
                <w:szCs w:val="16"/>
              </w:rPr>
              <w:t>Methods:</w:t>
            </w:r>
            <w:r w:rsidRPr="008A1117">
              <w:rPr>
                <w:rFonts w:ascii="Arial" w:hAnsi="Arial" w:cs="Arial"/>
                <w:sz w:val="16"/>
                <w:szCs w:val="16"/>
              </w:rPr>
              <w:t xml:space="preserve"> </w:t>
            </w:r>
            <w:r w:rsidR="007674B1" w:rsidRPr="008A1117">
              <w:rPr>
                <w:rFonts w:ascii="Arial" w:hAnsi="Arial" w:cs="Arial"/>
                <w:sz w:val="16"/>
                <w:szCs w:val="16"/>
              </w:rPr>
              <w:t xml:space="preserve">This observational study used a descriptive non-experimental method with a cross-sectional design. Data were collected using Google Forms. </w:t>
            </w:r>
          </w:p>
          <w:p w14:paraId="35578418" w14:textId="77777777" w:rsidR="008A1117" w:rsidRPr="008A1117" w:rsidRDefault="008A1117" w:rsidP="008A1117">
            <w:pPr>
              <w:ind w:left="-102"/>
              <w:rPr>
                <w:rFonts w:ascii="Arial" w:hAnsi="Arial" w:cs="Arial"/>
                <w:sz w:val="16"/>
                <w:szCs w:val="16"/>
              </w:rPr>
            </w:pPr>
          </w:p>
          <w:p w14:paraId="5F66DE3F" w14:textId="79735399" w:rsidR="007674B1" w:rsidRDefault="00CA3C5D" w:rsidP="008A1117">
            <w:pPr>
              <w:ind w:left="-102"/>
              <w:rPr>
                <w:rFonts w:ascii="Arial" w:hAnsi="Arial" w:cs="Arial"/>
                <w:sz w:val="16"/>
                <w:szCs w:val="16"/>
              </w:rPr>
            </w:pPr>
            <w:r w:rsidRPr="008A1117">
              <w:rPr>
                <w:rFonts w:ascii="Arial" w:hAnsi="Arial" w:cs="Arial"/>
                <w:b/>
                <w:bCs/>
                <w:sz w:val="16"/>
                <w:szCs w:val="16"/>
              </w:rPr>
              <w:t>Results:</w:t>
            </w:r>
            <w:r w:rsidRPr="008A1117">
              <w:rPr>
                <w:rFonts w:ascii="Arial" w:hAnsi="Arial" w:cs="Arial"/>
                <w:sz w:val="16"/>
                <w:szCs w:val="16"/>
              </w:rPr>
              <w:t xml:space="preserve"> </w:t>
            </w:r>
            <w:r w:rsidR="007674B1" w:rsidRPr="008A1117">
              <w:rPr>
                <w:rFonts w:ascii="Arial" w:hAnsi="Arial" w:cs="Arial"/>
                <w:sz w:val="16"/>
                <w:szCs w:val="16"/>
              </w:rPr>
              <w:t xml:space="preserve">AEFI symptoms were commonly found at an onset of 15 minutes – 24 hours. The common AEFI symptoms were pain at the injection site, fatigue, muscle aches, and joint pain. The AEFI severity was mostly at the mild level and only a few participants took medication. Results from this study showed that female participants, participants with comorbidities and allergies, previous medication history within the last 6 months, experience with COVID-19 had a higher risk for AEFI with a statistically significant effect (p&lt;0.005). </w:t>
            </w:r>
          </w:p>
          <w:p w14:paraId="585B0E57" w14:textId="77777777" w:rsidR="008A1117" w:rsidRPr="008A1117" w:rsidRDefault="008A1117" w:rsidP="008A1117">
            <w:pPr>
              <w:ind w:left="-102"/>
              <w:rPr>
                <w:rFonts w:ascii="Arial" w:hAnsi="Arial" w:cs="Arial"/>
                <w:sz w:val="16"/>
                <w:szCs w:val="16"/>
              </w:rPr>
            </w:pPr>
          </w:p>
          <w:p w14:paraId="76B0B9C8" w14:textId="0E2391AA" w:rsidR="008A1117" w:rsidRDefault="00CA3C5D" w:rsidP="008A1117">
            <w:pPr>
              <w:ind w:left="-102"/>
              <w:rPr>
                <w:rFonts w:ascii="Arial" w:hAnsi="Arial" w:cs="Arial"/>
                <w:sz w:val="16"/>
                <w:szCs w:val="16"/>
              </w:rPr>
            </w:pPr>
            <w:r w:rsidRPr="008A1117">
              <w:rPr>
                <w:rFonts w:ascii="Arial" w:hAnsi="Arial" w:cs="Arial"/>
                <w:b/>
                <w:bCs/>
                <w:sz w:val="16"/>
                <w:szCs w:val="16"/>
              </w:rPr>
              <w:t>Conclusion:</w:t>
            </w:r>
            <w:r w:rsidRPr="008A1117">
              <w:rPr>
                <w:rFonts w:ascii="Arial" w:hAnsi="Arial" w:cs="Arial"/>
                <w:sz w:val="16"/>
                <w:szCs w:val="16"/>
              </w:rPr>
              <w:t xml:space="preserve"> </w:t>
            </w:r>
            <w:r w:rsidR="008A1117" w:rsidRPr="008A1117">
              <w:rPr>
                <w:rFonts w:ascii="Arial" w:hAnsi="Arial" w:cs="Arial"/>
                <w:sz w:val="16"/>
                <w:szCs w:val="16"/>
              </w:rPr>
              <w:t>This study reveals that Pfizer and Sinovac Covid-19 vaccines are safe to administer as AEFIs are mostly mild and automatically disappear and decrease after 1 to 3 days</w:t>
            </w:r>
            <w:r w:rsidR="008A1117">
              <w:rPr>
                <w:rFonts w:ascii="Arial" w:hAnsi="Arial" w:cs="Arial"/>
                <w:sz w:val="16"/>
                <w:szCs w:val="16"/>
              </w:rPr>
              <w:t>.</w:t>
            </w:r>
            <w:r w:rsidR="008A1117" w:rsidRPr="008A1117">
              <w:rPr>
                <w:rFonts w:ascii="Arial" w:hAnsi="Arial" w:cs="Arial"/>
                <w:sz w:val="16"/>
                <w:szCs w:val="16"/>
              </w:rPr>
              <w:t xml:space="preserve"> </w:t>
            </w:r>
          </w:p>
          <w:p w14:paraId="570290F6" w14:textId="77777777" w:rsidR="008A1117" w:rsidRDefault="008A1117" w:rsidP="008A1117">
            <w:pPr>
              <w:ind w:left="-102"/>
              <w:rPr>
                <w:rFonts w:ascii="Arial" w:hAnsi="Arial" w:cs="Arial"/>
                <w:sz w:val="16"/>
                <w:szCs w:val="16"/>
              </w:rPr>
            </w:pPr>
          </w:p>
          <w:p w14:paraId="5E15DB7A" w14:textId="77777777" w:rsidR="008A1117" w:rsidRPr="008A1117" w:rsidRDefault="00CA3C5D" w:rsidP="008A1117">
            <w:pPr>
              <w:ind w:left="-102"/>
              <w:rPr>
                <w:rFonts w:ascii="Arial" w:hAnsi="Arial" w:cs="Arial"/>
                <w:sz w:val="16"/>
                <w:szCs w:val="16"/>
              </w:rPr>
            </w:pPr>
            <w:r w:rsidRPr="008A1117">
              <w:rPr>
                <w:rFonts w:ascii="Arial" w:hAnsi="Arial" w:cs="Arial"/>
                <w:b/>
                <w:bCs/>
                <w:sz w:val="16"/>
                <w:szCs w:val="16"/>
              </w:rPr>
              <w:t>Keywords:</w:t>
            </w:r>
            <w:r w:rsidRPr="008A1117">
              <w:rPr>
                <w:rFonts w:ascii="Arial" w:hAnsi="Arial" w:cs="Arial"/>
                <w:sz w:val="16"/>
                <w:szCs w:val="16"/>
              </w:rPr>
              <w:t xml:space="preserve"> </w:t>
            </w:r>
            <w:r w:rsidR="008A1117" w:rsidRPr="008A1117">
              <w:rPr>
                <w:rFonts w:ascii="Arial" w:hAnsi="Arial" w:cs="Arial"/>
                <w:sz w:val="16"/>
                <w:szCs w:val="16"/>
              </w:rPr>
              <w:t xml:space="preserve">Covid-19; AEFI; Pfizer; Sinovac; Vaccine. </w:t>
            </w:r>
          </w:p>
          <w:p w14:paraId="1352A63C" w14:textId="0791CC23" w:rsidR="00CA3C5D" w:rsidRPr="00CA3C5D" w:rsidRDefault="00CA3C5D" w:rsidP="008A1117">
            <w:pPr>
              <w:ind w:left="-102"/>
              <w:rPr>
                <w:rFonts w:ascii="Arial" w:hAnsi="Arial" w:cs="Arial"/>
                <w:color w:val="000000"/>
                <w:sz w:val="12"/>
                <w:szCs w:val="12"/>
              </w:rPr>
            </w:pPr>
          </w:p>
        </w:tc>
        <w:tc>
          <w:tcPr>
            <w:tcW w:w="3015" w:type="dxa"/>
            <w:shd w:val="clear" w:color="auto" w:fill="E8E9FF"/>
          </w:tcPr>
          <w:p w14:paraId="59B93564" w14:textId="77777777" w:rsidR="00CA3C5D" w:rsidRPr="00E344E0" w:rsidRDefault="00CA3C5D" w:rsidP="00CA3C5D">
            <w:pPr>
              <w:spacing w:before="120"/>
              <w:ind w:left="-43" w:right="-72"/>
              <w:jc w:val="right"/>
              <w:rPr>
                <w:rFonts w:ascii="Arial" w:hAnsi="Arial" w:cs="Arial"/>
                <w:b/>
                <w:bCs/>
                <w:sz w:val="18"/>
                <w:szCs w:val="20"/>
                <w:lang w:val="en-US"/>
              </w:rPr>
            </w:pPr>
            <w:r w:rsidRPr="00E344E0">
              <w:rPr>
                <w:rFonts w:ascii="Arial" w:hAnsi="Arial" w:cs="Arial"/>
                <w:b/>
                <w:bCs/>
                <w:sz w:val="18"/>
                <w:szCs w:val="20"/>
                <w:lang w:val="en-US"/>
              </w:rPr>
              <w:t>Corresponding Author:</w:t>
            </w:r>
          </w:p>
          <w:p w14:paraId="4FCDC5CC" w14:textId="0120772D" w:rsidR="007674B1" w:rsidRPr="007674B1" w:rsidRDefault="007674B1" w:rsidP="007674B1">
            <w:pPr>
              <w:pStyle w:val="NormalWeb"/>
              <w:jc w:val="right"/>
              <w:rPr>
                <w:rFonts w:ascii="Arial" w:hAnsi="Arial" w:cs="Arial"/>
              </w:rPr>
            </w:pPr>
            <w:r w:rsidRPr="007674B1">
              <w:rPr>
                <w:rFonts w:ascii="Arial" w:hAnsi="Arial" w:cs="Arial"/>
                <w:sz w:val="18"/>
                <w:szCs w:val="18"/>
              </w:rPr>
              <w:t xml:space="preserve">Prof. </w:t>
            </w:r>
            <w:proofErr w:type="spellStart"/>
            <w:r w:rsidRPr="007674B1">
              <w:rPr>
                <w:rFonts w:ascii="Arial" w:hAnsi="Arial" w:cs="Arial"/>
                <w:sz w:val="18"/>
                <w:szCs w:val="18"/>
              </w:rPr>
              <w:t>Dr.</w:t>
            </w:r>
            <w:proofErr w:type="spellEnd"/>
            <w:r w:rsidRPr="007674B1">
              <w:rPr>
                <w:rFonts w:ascii="Arial" w:hAnsi="Arial" w:cs="Arial"/>
                <w:sz w:val="18"/>
                <w:szCs w:val="18"/>
              </w:rPr>
              <w:t xml:space="preserve"> </w:t>
            </w:r>
            <w:proofErr w:type="spellStart"/>
            <w:r w:rsidRPr="007674B1">
              <w:rPr>
                <w:rFonts w:ascii="Arial" w:hAnsi="Arial" w:cs="Arial"/>
                <w:sz w:val="18"/>
                <w:szCs w:val="18"/>
              </w:rPr>
              <w:t>Retnosari</w:t>
            </w:r>
            <w:proofErr w:type="spellEnd"/>
            <w:r w:rsidRPr="007674B1">
              <w:rPr>
                <w:rFonts w:ascii="Arial" w:hAnsi="Arial" w:cs="Arial"/>
                <w:sz w:val="18"/>
                <w:szCs w:val="18"/>
              </w:rPr>
              <w:t xml:space="preserve"> </w:t>
            </w:r>
            <w:proofErr w:type="spellStart"/>
            <w:r w:rsidRPr="007674B1">
              <w:rPr>
                <w:rFonts w:ascii="Arial" w:hAnsi="Arial" w:cs="Arial"/>
                <w:sz w:val="18"/>
                <w:szCs w:val="18"/>
              </w:rPr>
              <w:t>Andrajati</w:t>
            </w:r>
            <w:proofErr w:type="spellEnd"/>
            <w:r w:rsidRPr="007674B1">
              <w:rPr>
                <w:rFonts w:ascii="Arial" w:hAnsi="Arial" w:cs="Arial"/>
                <w:sz w:val="18"/>
                <w:szCs w:val="18"/>
              </w:rPr>
              <w:t xml:space="preserve">, M.S., Apt. </w:t>
            </w:r>
            <w:r w:rsidR="00CA3C5D" w:rsidRPr="007674B1">
              <w:rPr>
                <w:rFonts w:ascii="Arial" w:hAnsi="Arial" w:cs="Arial"/>
                <w:sz w:val="18"/>
                <w:szCs w:val="20"/>
                <w:lang w:val="en-US"/>
              </w:rPr>
              <w:t xml:space="preserve">| </w:t>
            </w:r>
            <w:r w:rsidRPr="007674B1">
              <w:rPr>
                <w:rFonts w:ascii="Arial" w:hAnsi="Arial" w:cs="Arial"/>
                <w:sz w:val="18"/>
                <w:szCs w:val="18"/>
              </w:rPr>
              <w:t xml:space="preserve">Faculty of Pharmacy, Universitas Indonesia, </w:t>
            </w:r>
            <w:proofErr w:type="spellStart"/>
            <w:r w:rsidRPr="007674B1">
              <w:rPr>
                <w:rFonts w:ascii="Arial" w:hAnsi="Arial" w:cs="Arial"/>
                <w:sz w:val="18"/>
                <w:szCs w:val="18"/>
              </w:rPr>
              <w:t>Kampus</w:t>
            </w:r>
            <w:proofErr w:type="spellEnd"/>
            <w:r w:rsidRPr="007674B1">
              <w:rPr>
                <w:rFonts w:ascii="Arial" w:hAnsi="Arial" w:cs="Arial"/>
                <w:sz w:val="18"/>
                <w:szCs w:val="18"/>
              </w:rPr>
              <w:t xml:space="preserve"> </w:t>
            </w:r>
            <w:proofErr w:type="spellStart"/>
            <w:r w:rsidRPr="007674B1">
              <w:rPr>
                <w:rFonts w:ascii="Arial" w:hAnsi="Arial" w:cs="Arial"/>
                <w:sz w:val="18"/>
                <w:szCs w:val="18"/>
              </w:rPr>
              <w:t>Baru</w:t>
            </w:r>
            <w:proofErr w:type="spellEnd"/>
            <w:r w:rsidRPr="007674B1">
              <w:rPr>
                <w:rFonts w:ascii="Arial" w:hAnsi="Arial" w:cs="Arial"/>
                <w:sz w:val="18"/>
                <w:szCs w:val="18"/>
              </w:rPr>
              <w:t xml:space="preserve"> UI Depok, 16424, West Java Province, Indonesia</w:t>
            </w:r>
            <w:r>
              <w:rPr>
                <w:rFonts w:ascii="Arial" w:hAnsi="Arial" w:cs="Arial"/>
                <w:sz w:val="18"/>
                <w:szCs w:val="18"/>
              </w:rPr>
              <w:t xml:space="preserve"> </w:t>
            </w:r>
            <w:r w:rsidRPr="007674B1">
              <w:rPr>
                <w:rFonts w:ascii="Arial" w:hAnsi="Arial" w:cs="Arial"/>
                <w:sz w:val="18"/>
                <w:szCs w:val="20"/>
                <w:lang w:val="en-US"/>
              </w:rPr>
              <w:t xml:space="preserve">| </w:t>
            </w:r>
            <w:r w:rsidRPr="007674B1">
              <w:rPr>
                <w:rFonts w:ascii="Arial" w:hAnsi="Arial" w:cs="Arial"/>
                <w:sz w:val="18"/>
                <w:szCs w:val="18"/>
              </w:rPr>
              <w:t xml:space="preserve">Tel: +62 813-1744-1448 </w:t>
            </w:r>
            <w:r w:rsidRPr="007674B1">
              <w:rPr>
                <w:rFonts w:ascii="Arial" w:hAnsi="Arial" w:cs="Arial"/>
                <w:sz w:val="18"/>
                <w:szCs w:val="20"/>
                <w:lang w:val="en-US"/>
              </w:rPr>
              <w:t>|</w:t>
            </w:r>
            <w:r w:rsidRPr="007674B1">
              <w:rPr>
                <w:rFonts w:ascii="Arial" w:hAnsi="Arial" w:cs="Arial"/>
                <w:sz w:val="18"/>
                <w:szCs w:val="18"/>
              </w:rPr>
              <w:t xml:space="preserve"> andrajati@farmasi.ui.ac.id </w:t>
            </w:r>
          </w:p>
          <w:p w14:paraId="4EA24840" w14:textId="2429F54F" w:rsidR="00CA3C5D" w:rsidRPr="00E344E0" w:rsidRDefault="00CA3C5D" w:rsidP="007674B1">
            <w:pPr>
              <w:ind w:right="-70"/>
              <w:rPr>
                <w:rStyle w:val="Hyperlink"/>
                <w:rFonts w:ascii="Arial" w:hAnsi="Arial" w:cs="Arial"/>
                <w:b/>
                <w:bCs/>
                <w:iCs/>
                <w:color w:val="auto"/>
                <w:sz w:val="18"/>
                <w:szCs w:val="20"/>
              </w:rPr>
            </w:pPr>
          </w:p>
          <w:p w14:paraId="42BAA30E" w14:textId="3A2B487D" w:rsidR="00CA3C5D" w:rsidRPr="00E344E0" w:rsidRDefault="00CA3C5D" w:rsidP="00CA3C5D">
            <w:pPr>
              <w:ind w:left="-46" w:right="-70"/>
              <w:jc w:val="right"/>
              <w:rPr>
                <w:rStyle w:val="Hyperlink"/>
                <w:rFonts w:ascii="Arial" w:hAnsi="Arial" w:cs="Arial"/>
                <w:iCs/>
                <w:color w:val="auto"/>
                <w:sz w:val="18"/>
                <w:szCs w:val="20"/>
                <w:u w:val="none"/>
              </w:rPr>
            </w:pPr>
            <w:proofErr w:type="spellStart"/>
            <w:r w:rsidRPr="00E344E0">
              <w:rPr>
                <w:rStyle w:val="Hyperlink"/>
                <w:rFonts w:ascii="Arial" w:hAnsi="Arial" w:cs="Arial"/>
                <w:b/>
                <w:bCs/>
                <w:iCs/>
                <w:color w:val="auto"/>
                <w:sz w:val="18"/>
                <w:szCs w:val="20"/>
                <w:u w:val="none"/>
              </w:rPr>
              <w:t>Submitted:</w:t>
            </w:r>
            <w:r w:rsidR="007674B1">
              <w:rPr>
                <w:rStyle w:val="Hyperlink"/>
                <w:rFonts w:ascii="Arial" w:hAnsi="Arial" w:cs="Arial"/>
                <w:b/>
                <w:bCs/>
                <w:iCs/>
                <w:color w:val="auto"/>
                <w:sz w:val="18"/>
                <w:szCs w:val="20"/>
                <w:u w:val="none"/>
              </w:rPr>
              <w:t>x</w:t>
            </w:r>
            <w:r w:rsidR="007674B1">
              <w:rPr>
                <w:rStyle w:val="Hyperlink"/>
                <w:b/>
                <w:bCs/>
                <w:iCs/>
              </w:rPr>
              <w:t>x</w:t>
            </w:r>
            <w:proofErr w:type="spellEnd"/>
            <w:r w:rsidRPr="00E344E0">
              <w:rPr>
                <w:rStyle w:val="Hyperlink"/>
                <w:rFonts w:ascii="Arial" w:hAnsi="Arial" w:cs="Arial"/>
                <w:iCs/>
                <w:color w:val="auto"/>
                <w:sz w:val="18"/>
                <w:szCs w:val="20"/>
                <w:u w:val="none"/>
              </w:rPr>
              <w:t xml:space="preserve"> </w:t>
            </w:r>
          </w:p>
          <w:p w14:paraId="0D0E27D5" w14:textId="468F2214" w:rsidR="00CA3C5D" w:rsidRPr="00E344E0" w:rsidRDefault="00CA3C5D" w:rsidP="00CA3C5D">
            <w:pPr>
              <w:ind w:left="-46" w:right="-70"/>
              <w:jc w:val="right"/>
              <w:rPr>
                <w:rStyle w:val="Hyperlink"/>
                <w:rFonts w:ascii="Arial" w:hAnsi="Arial" w:cs="Arial"/>
                <w:iCs/>
                <w:color w:val="auto"/>
                <w:sz w:val="18"/>
                <w:szCs w:val="20"/>
                <w:u w:val="none"/>
              </w:rPr>
            </w:pPr>
            <w:proofErr w:type="spellStart"/>
            <w:r w:rsidRPr="00E344E0">
              <w:rPr>
                <w:rStyle w:val="Hyperlink"/>
                <w:rFonts w:ascii="Arial" w:hAnsi="Arial" w:cs="Arial"/>
                <w:b/>
                <w:bCs/>
                <w:iCs/>
                <w:color w:val="auto"/>
                <w:sz w:val="18"/>
                <w:szCs w:val="20"/>
                <w:u w:val="none"/>
              </w:rPr>
              <w:t>Accepted:</w:t>
            </w:r>
            <w:r w:rsidR="007674B1">
              <w:rPr>
                <w:rStyle w:val="Hyperlink"/>
                <w:rFonts w:ascii="Arial" w:hAnsi="Arial" w:cs="Arial"/>
                <w:b/>
                <w:bCs/>
                <w:iCs/>
                <w:color w:val="auto"/>
                <w:sz w:val="18"/>
                <w:szCs w:val="20"/>
                <w:u w:val="none"/>
              </w:rPr>
              <w:t>x</w:t>
            </w:r>
            <w:r w:rsidR="007674B1">
              <w:rPr>
                <w:rStyle w:val="Hyperlink"/>
                <w:b/>
                <w:bCs/>
                <w:iCs/>
              </w:rPr>
              <w:t>x</w:t>
            </w:r>
            <w:proofErr w:type="spellEnd"/>
            <w:r w:rsidRPr="00E344E0">
              <w:rPr>
                <w:rStyle w:val="Hyperlink"/>
                <w:rFonts w:ascii="Arial" w:hAnsi="Arial" w:cs="Arial"/>
                <w:iCs/>
                <w:color w:val="auto"/>
                <w:sz w:val="18"/>
                <w:szCs w:val="20"/>
                <w:u w:val="none"/>
              </w:rPr>
              <w:t xml:space="preserve"> </w:t>
            </w:r>
          </w:p>
          <w:p w14:paraId="731ABE63" w14:textId="2D3CFAD9" w:rsidR="00CA3C5D" w:rsidRPr="00E344E0" w:rsidRDefault="00CA3C5D" w:rsidP="00CA3C5D">
            <w:pPr>
              <w:ind w:left="-46" w:right="-70"/>
              <w:jc w:val="right"/>
              <w:rPr>
                <w:rStyle w:val="Hyperlink"/>
                <w:rFonts w:ascii="Arial" w:hAnsi="Arial" w:cs="Arial"/>
                <w:iCs/>
                <w:color w:val="auto"/>
                <w:sz w:val="18"/>
                <w:szCs w:val="20"/>
                <w:u w:val="none"/>
              </w:rPr>
            </w:pPr>
            <w:r w:rsidRPr="00E344E0">
              <w:rPr>
                <w:rStyle w:val="Hyperlink"/>
                <w:rFonts w:ascii="Arial" w:hAnsi="Arial" w:cs="Arial"/>
                <w:b/>
                <w:bCs/>
                <w:iCs/>
                <w:color w:val="auto"/>
                <w:sz w:val="18"/>
                <w:szCs w:val="20"/>
                <w:u w:val="none"/>
              </w:rPr>
              <w:t>Published:</w:t>
            </w:r>
            <w:r w:rsidRPr="00E344E0">
              <w:rPr>
                <w:rStyle w:val="Hyperlink"/>
                <w:rFonts w:ascii="Arial" w:hAnsi="Arial" w:cs="Arial"/>
                <w:iCs/>
                <w:color w:val="auto"/>
                <w:sz w:val="18"/>
                <w:szCs w:val="20"/>
                <w:u w:val="none"/>
              </w:rPr>
              <w:t xml:space="preserve"> </w:t>
            </w:r>
            <w:r w:rsidR="007674B1">
              <w:rPr>
                <w:rStyle w:val="Hyperlink"/>
                <w:rFonts w:ascii="Arial" w:hAnsi="Arial" w:cs="Arial"/>
                <w:iCs/>
                <w:color w:val="auto"/>
                <w:sz w:val="18"/>
                <w:szCs w:val="20"/>
                <w:u w:val="none"/>
              </w:rPr>
              <w:t>x</w:t>
            </w:r>
            <w:r w:rsidR="007674B1">
              <w:rPr>
                <w:rStyle w:val="Hyperlink"/>
                <w:iCs/>
              </w:rPr>
              <w:t>x</w:t>
            </w:r>
          </w:p>
          <w:p w14:paraId="6406DC04" w14:textId="77777777" w:rsidR="00CA3C5D" w:rsidRPr="00E344E0" w:rsidRDefault="00CA3C5D" w:rsidP="00CA3C5D">
            <w:pPr>
              <w:ind w:left="-46" w:right="-70"/>
              <w:jc w:val="right"/>
              <w:rPr>
                <w:rFonts w:ascii="Arial" w:hAnsi="Arial" w:cs="Arial"/>
                <w:iCs/>
                <w:sz w:val="18"/>
                <w:szCs w:val="20"/>
                <w:lang w:val="en-US"/>
              </w:rPr>
            </w:pPr>
          </w:p>
          <w:p w14:paraId="76336FA0" w14:textId="77777777" w:rsidR="00CA3C5D" w:rsidRPr="00E344E0" w:rsidRDefault="00CA3C5D" w:rsidP="00CA3C5D">
            <w:pPr>
              <w:ind w:left="-46" w:right="-70"/>
              <w:jc w:val="right"/>
              <w:rPr>
                <w:rFonts w:ascii="Arial" w:hAnsi="Arial" w:cs="Arial"/>
                <w:iCs/>
                <w:sz w:val="18"/>
                <w:szCs w:val="20"/>
                <w:lang w:val="en-US"/>
              </w:rPr>
            </w:pPr>
          </w:p>
          <w:p w14:paraId="6777209E" w14:textId="77777777" w:rsidR="00CA3C5D" w:rsidRPr="00E344E0" w:rsidRDefault="00CA3C5D" w:rsidP="00CA3C5D">
            <w:pPr>
              <w:ind w:left="-46" w:right="-70"/>
              <w:jc w:val="right"/>
              <w:rPr>
                <w:rFonts w:ascii="Arial" w:hAnsi="Arial" w:cs="Arial"/>
                <w:b/>
                <w:bCs/>
                <w:iCs/>
                <w:sz w:val="18"/>
                <w:szCs w:val="20"/>
                <w:lang w:val="en-US"/>
              </w:rPr>
            </w:pPr>
            <w:r w:rsidRPr="00E344E0">
              <w:rPr>
                <w:rFonts w:ascii="Arial" w:hAnsi="Arial" w:cs="Arial"/>
                <w:b/>
                <w:bCs/>
                <w:iCs/>
                <w:sz w:val="18"/>
                <w:szCs w:val="20"/>
                <w:lang w:val="en-US"/>
              </w:rPr>
              <w:t xml:space="preserve">J </w:t>
            </w:r>
            <w:proofErr w:type="spellStart"/>
            <w:r w:rsidRPr="00E344E0">
              <w:rPr>
                <w:rFonts w:ascii="Arial" w:hAnsi="Arial" w:cs="Arial"/>
                <w:b/>
                <w:bCs/>
                <w:iCs/>
                <w:sz w:val="18"/>
                <w:szCs w:val="20"/>
                <w:lang w:val="en-US"/>
              </w:rPr>
              <w:t>Respirol</w:t>
            </w:r>
            <w:proofErr w:type="spellEnd"/>
            <w:r w:rsidRPr="00E344E0">
              <w:rPr>
                <w:rFonts w:ascii="Arial" w:hAnsi="Arial" w:cs="Arial"/>
                <w:b/>
                <w:bCs/>
                <w:iCs/>
                <w:sz w:val="18"/>
                <w:szCs w:val="20"/>
                <w:lang w:val="en-US"/>
              </w:rPr>
              <w:t xml:space="preserve"> </w:t>
            </w:r>
            <w:proofErr w:type="spellStart"/>
            <w:r w:rsidRPr="00E344E0">
              <w:rPr>
                <w:rFonts w:ascii="Arial" w:hAnsi="Arial" w:cs="Arial"/>
                <w:b/>
                <w:bCs/>
                <w:iCs/>
                <w:sz w:val="18"/>
                <w:szCs w:val="20"/>
                <w:lang w:val="en-US"/>
              </w:rPr>
              <w:t>Indones</w:t>
            </w:r>
            <w:proofErr w:type="spellEnd"/>
            <w:r w:rsidRPr="00E344E0">
              <w:rPr>
                <w:rFonts w:ascii="Arial" w:hAnsi="Arial" w:cs="Arial"/>
                <w:b/>
                <w:bCs/>
                <w:iCs/>
                <w:sz w:val="18"/>
                <w:szCs w:val="20"/>
                <w:lang w:val="en-US"/>
              </w:rPr>
              <w:t>. 2021</w:t>
            </w:r>
          </w:p>
          <w:p w14:paraId="2E4E35BA" w14:textId="0AB54726" w:rsidR="00CA3C5D" w:rsidRPr="00E344E0" w:rsidRDefault="00CA3C5D" w:rsidP="00CA3C5D">
            <w:pPr>
              <w:ind w:left="-46" w:right="-70"/>
              <w:jc w:val="right"/>
              <w:rPr>
                <w:rFonts w:ascii="Arial" w:hAnsi="Arial" w:cs="Arial"/>
                <w:b/>
                <w:bCs/>
                <w:iCs/>
                <w:sz w:val="18"/>
                <w:szCs w:val="20"/>
                <w:lang w:val="en-US"/>
              </w:rPr>
            </w:pPr>
            <w:r w:rsidRPr="00E344E0">
              <w:rPr>
                <w:rFonts w:ascii="Arial" w:hAnsi="Arial" w:cs="Arial"/>
                <w:b/>
                <w:bCs/>
                <w:iCs/>
                <w:sz w:val="18"/>
                <w:szCs w:val="20"/>
                <w:lang w:val="en-US"/>
              </w:rPr>
              <w:t>Vol. 1 No. 2: 150-160</w:t>
            </w:r>
          </w:p>
          <w:p w14:paraId="096FE9EE" w14:textId="77777777" w:rsidR="00CA3C5D" w:rsidRPr="00CA3C5D" w:rsidRDefault="00000000" w:rsidP="00CA3C5D">
            <w:pPr>
              <w:ind w:left="-46" w:right="-70"/>
              <w:jc w:val="right"/>
              <w:rPr>
                <w:rFonts w:ascii="Tahoma" w:hAnsi="Tahoma" w:cs="Tahoma"/>
                <w:iCs/>
                <w:sz w:val="18"/>
                <w:szCs w:val="20"/>
                <w:lang w:val="en-US"/>
              </w:rPr>
            </w:pPr>
            <w:hyperlink r:id="rId14" w:history="1">
              <w:r w:rsidR="00CA3C5D" w:rsidRPr="00E344E0">
                <w:rPr>
                  <w:rStyle w:val="Hyperlink"/>
                  <w:rFonts w:ascii="Arial" w:hAnsi="Arial" w:cs="Arial"/>
                  <w:color w:val="auto"/>
                  <w:sz w:val="18"/>
                  <w:szCs w:val="20"/>
                </w:rPr>
                <w:t>https://doi.org/10.36497/respirsci.v1i2.20</w:t>
              </w:r>
            </w:hyperlink>
          </w:p>
          <w:p w14:paraId="07696238" w14:textId="6EFCA9E9" w:rsidR="00CA3C5D" w:rsidRDefault="001A3AE6" w:rsidP="00EC49FC">
            <w:pPr>
              <w:widowControl w:val="0"/>
              <w:autoSpaceDE w:val="0"/>
              <w:autoSpaceDN w:val="0"/>
              <w:adjustRightInd w:val="0"/>
              <w:spacing w:line="200" w:lineRule="exact"/>
              <w:ind w:right="32"/>
              <w:rPr>
                <w:rFonts w:ascii="Arial" w:hAnsi="Arial" w:cs="Arial"/>
                <w:sz w:val="20"/>
                <w:szCs w:val="20"/>
              </w:rPr>
            </w:pPr>
            <w:r>
              <w:rPr>
                <w:rFonts w:ascii="Arial" w:hAnsi="Arial" w:cs="Arial"/>
                <w:sz w:val="20"/>
                <w:szCs w:val="20"/>
              </w:rPr>
              <w:t xml:space="preserve"> </w:t>
            </w:r>
          </w:p>
          <w:p w14:paraId="64BFF6CE" w14:textId="73DDDEC2" w:rsidR="001A3AE6" w:rsidRPr="00CA3C5D" w:rsidRDefault="001A3AE6" w:rsidP="001A3AE6">
            <w:pPr>
              <w:widowControl w:val="0"/>
              <w:autoSpaceDE w:val="0"/>
              <w:autoSpaceDN w:val="0"/>
              <w:adjustRightInd w:val="0"/>
              <w:spacing w:line="200" w:lineRule="exact"/>
              <w:ind w:right="32"/>
              <w:jc w:val="right"/>
              <w:rPr>
                <w:rFonts w:ascii="Arial" w:hAnsi="Arial" w:cs="Arial"/>
                <w:sz w:val="20"/>
                <w:szCs w:val="20"/>
              </w:rPr>
            </w:pPr>
          </w:p>
        </w:tc>
      </w:tr>
    </w:tbl>
    <w:p w14:paraId="1A3EAC67" w14:textId="75487EA0" w:rsidR="00CA3C5D" w:rsidRDefault="00CA3C5D">
      <w:pPr>
        <w:rPr>
          <w:rFonts w:ascii="Arial" w:hAnsi="Arial" w:cs="Arial"/>
          <w:b/>
          <w:bCs/>
          <w:color w:val="363435"/>
          <w:sz w:val="20"/>
          <w:szCs w:val="20"/>
        </w:rPr>
        <w:sectPr w:rsidR="00CA3C5D" w:rsidSect="00CA3C5D">
          <w:type w:val="continuous"/>
          <w:pgSz w:w="11906" w:h="16838" w:code="9"/>
          <w:pgMar w:top="1418" w:right="907" w:bottom="868" w:left="964" w:header="709" w:footer="709" w:gutter="0"/>
          <w:cols w:space="708"/>
          <w:titlePg/>
          <w:docGrid w:linePitch="360"/>
        </w:sectPr>
      </w:pPr>
    </w:p>
    <w:p w14:paraId="743ED1F7" w14:textId="02CCA97D" w:rsidR="00D56510" w:rsidRPr="00452EAB" w:rsidRDefault="00CA3C5D" w:rsidP="00452EAB">
      <w:pPr>
        <w:widowControl w:val="0"/>
        <w:autoSpaceDE w:val="0"/>
        <w:autoSpaceDN w:val="0"/>
        <w:adjustRightInd w:val="0"/>
        <w:spacing w:before="28" w:afterLines="28" w:after="67" w:line="240" w:lineRule="auto"/>
        <w:ind w:right="32"/>
        <w:contextualSpacing/>
        <w:jc w:val="both"/>
        <w:rPr>
          <w:rFonts w:ascii="Arial" w:hAnsi="Arial" w:cs="Arial"/>
          <w:color w:val="000000"/>
          <w:sz w:val="20"/>
          <w:szCs w:val="20"/>
          <w:lang w:val="id-ID"/>
        </w:rPr>
      </w:pPr>
      <w:r w:rsidRPr="00452EAB">
        <w:rPr>
          <w:rFonts w:ascii="Arial" w:hAnsi="Arial" w:cs="Arial"/>
          <w:b/>
          <w:bCs/>
          <w:color w:val="363435"/>
          <w:sz w:val="20"/>
          <w:szCs w:val="20"/>
        </w:rPr>
        <w:t>INTRODUCTION</w:t>
      </w:r>
      <w:r w:rsidR="00D56510" w:rsidRPr="00452EAB">
        <w:rPr>
          <w:rFonts w:ascii="Arial" w:hAnsi="Arial" w:cs="Arial"/>
          <w:b/>
          <w:bCs/>
          <w:color w:val="363435"/>
          <w:sz w:val="20"/>
          <w:szCs w:val="20"/>
        </w:rPr>
        <w:t xml:space="preserve"> </w:t>
      </w:r>
    </w:p>
    <w:p w14:paraId="00B9235A" w14:textId="16D4BCEE" w:rsidR="00452EAB" w:rsidRPr="00452EAB" w:rsidRDefault="00452EAB" w:rsidP="00452EAB">
      <w:pPr>
        <w:pStyle w:val="NormalWeb"/>
        <w:spacing w:before="28" w:beforeAutospacing="0" w:afterLines="28" w:after="67" w:afterAutospacing="0" w:line="334" w:lineRule="auto"/>
        <w:ind w:firstLine="720"/>
        <w:contextualSpacing/>
        <w:jc w:val="both"/>
        <w:rPr>
          <w:rFonts w:ascii="Arial" w:hAnsi="Arial" w:cs="Arial"/>
          <w:sz w:val="20"/>
          <w:szCs w:val="20"/>
        </w:rPr>
      </w:pPr>
      <w:r w:rsidRPr="00452EAB">
        <w:rPr>
          <w:rFonts w:ascii="Arial" w:hAnsi="Arial" w:cs="Arial"/>
          <w:sz w:val="20"/>
          <w:szCs w:val="20"/>
        </w:rPr>
        <w:t>The coronavirus that causes severe acute respiratory syndrome (COVID-19) is coronavirus 2 (SARS- CoV-2). Global pandemic brought on by this virus. There were 27 people with pneumonia in Wuhan, Hubei Province, China, in late 2019. The virus spread quickly across the globe</w:t>
      </w:r>
      <w:r w:rsidR="0061428F">
        <w:rPr>
          <w:rFonts w:ascii="Arial" w:hAnsi="Arial" w:cs="Arial"/>
          <w:sz w:val="20"/>
          <w:szCs w:val="20"/>
        </w:rPr>
        <w:t xml:space="preserve"> </w:t>
      </w:r>
      <w:r w:rsidR="0061428F">
        <w:rPr>
          <w:rFonts w:ascii="Arial" w:hAnsi="Arial" w:cs="Arial"/>
          <w:sz w:val="20"/>
          <w:szCs w:val="20"/>
        </w:rPr>
        <w:fldChar w:fldCharType="begin" w:fldLock="1"/>
      </w:r>
      <w:r w:rsidR="0061428F">
        <w:rPr>
          <w:rFonts w:ascii="Arial" w:hAnsi="Arial" w:cs="Arial"/>
          <w:sz w:val="20"/>
          <w:szCs w:val="20"/>
        </w:rPr>
        <w:instrText>ADDIN CSL_CITATION {"citationItems":[{"id":"ITEM-1","itemData":{"author":[{"dropping-particle":"","family":"Long","given":"Brit","non-dropping-particle":"","parse-names":false,"suffix":""},{"dropping-particle":"","family":"Carius","given":"Brandon M","non-dropping-particle":"","parse-names":false,"suffix":""},{"dropping-particle":"","family":"Chavez","given":"Summer","non-dropping-particle":"","parse-names":false,"suffix":""},{"dropping-particle":"","family":"Liang","given":"Stephen Y","non-dropping-particle":"","parse-names":false,"suffix":""},{"dropping-particle":"","family":"Brady","given":"William J","non-dropping-particle":"","parse-names":false,"suffix":""},{"dropping-particle":"","family":"Koyfman","given":"Alex","non-dropping-particle":"","parse-names":false,"suffix":""},{"dropping-particle":"","family":"Gottlieb","given":"Michael","non-dropping-particle":"","parse-names":false,"suffix":""}],"container-title":"American Journal of Emergency Medicine","id":"ITEM-1","issued":{"date-parts":[["2022"]]},"page":"46-57","title":"Clinical update on COVID-19 for the emergency clinician: Presentation and evaluation","type":"article-journal","volume":"54"},"uris":["http://www.mendeley.com/documents/?uuid=f58b4238-be31-474d-bee5-af59454d61d1"]}],"mendeley":{"formattedCitation":"(1)","plainTextFormattedCitation":"(1)","previouslyFormattedCitation":"(1)"},"properties":{"noteIndex":0},"schema":"https://github.com/citation-style-language/schema/raw/master/csl-citation.json"}</w:instrText>
      </w:r>
      <w:r w:rsidR="0061428F">
        <w:rPr>
          <w:rFonts w:ascii="Arial" w:hAnsi="Arial" w:cs="Arial"/>
          <w:sz w:val="20"/>
          <w:szCs w:val="20"/>
        </w:rPr>
        <w:fldChar w:fldCharType="separate"/>
      </w:r>
      <w:r w:rsidR="0061428F" w:rsidRPr="0061428F">
        <w:rPr>
          <w:rFonts w:ascii="Arial" w:hAnsi="Arial" w:cs="Arial"/>
          <w:noProof/>
          <w:sz w:val="20"/>
          <w:szCs w:val="20"/>
        </w:rPr>
        <w:t>(1)</w:t>
      </w:r>
      <w:r w:rsidR="0061428F">
        <w:rPr>
          <w:rFonts w:ascii="Arial" w:hAnsi="Arial" w:cs="Arial"/>
          <w:sz w:val="20"/>
          <w:szCs w:val="20"/>
        </w:rPr>
        <w:fldChar w:fldCharType="end"/>
      </w:r>
      <w:r w:rsidR="0061428F">
        <w:rPr>
          <w:rFonts w:ascii="Arial" w:hAnsi="Arial" w:cs="Arial"/>
          <w:sz w:val="20"/>
          <w:szCs w:val="20"/>
        </w:rPr>
        <w:t>.</w:t>
      </w:r>
      <w:r w:rsidRPr="00452EAB">
        <w:rPr>
          <w:rFonts w:ascii="Arial" w:hAnsi="Arial" w:cs="Arial"/>
          <w:sz w:val="20"/>
          <w:szCs w:val="20"/>
        </w:rPr>
        <w:t xml:space="preserve"> Indonesia recorded zero cases from December 2019 to February 2020, when China was severely affected by the novel coronavirus SARS- CoV2. On March 2, 2020, President Joko Widodo announced Indonesia's initial two COVID-19 infections. Given that Indonesia has the fourth-highest population in the world, more hardship is anticipated there than in other, less crowded nations</w:t>
      </w:r>
      <w:r w:rsidR="0061428F">
        <w:rPr>
          <w:rFonts w:ascii="Arial" w:hAnsi="Arial" w:cs="Arial"/>
          <w:sz w:val="20"/>
          <w:szCs w:val="20"/>
        </w:rPr>
        <w:t xml:space="preserve"> </w:t>
      </w:r>
      <w:r w:rsidR="0061428F">
        <w:rPr>
          <w:rFonts w:ascii="Arial" w:hAnsi="Arial" w:cs="Arial"/>
          <w:sz w:val="20"/>
          <w:szCs w:val="20"/>
        </w:rPr>
        <w:fldChar w:fldCharType="begin" w:fldLock="1"/>
      </w:r>
      <w:r w:rsidR="0061428F">
        <w:rPr>
          <w:rFonts w:ascii="Arial" w:hAnsi="Arial" w:cs="Arial"/>
          <w:sz w:val="20"/>
          <w:szCs w:val="20"/>
        </w:rPr>
        <w:instrText>ADDIN CSL_CITATION {"citationItems":[{"id":"ITEM-1","itemData":{"author":[{"dropping-particle":"","family":"Djalante","given":"Riyanti","non-dropping-particle":"","parse-names":false,"suffix":""},{"dropping-particle":"","family":"Lassa","given":"Jonatan","non-dropping-particle":"","parse-names":false,"suffix":""},{"dropping-particle":"","family":"Setiamarga","given":"Davin","non-dropping-particle":"","parse-names":false,"suffix":""},{"dropping-particle":"","family":"Sudjatma","given":"Aruminingsih","non-dropping-particle":"","parse-names":false,"suffix":""},{"dropping-particle":"","family":"Indrawan","given":"Mochamad","non-dropping-particle":"","parse-names":false,"suffix":""}],"id":"ITEM-1","issue":"January","issued":{"date-parts":[["2020"]]},"title":"Review and analysis of current responses to COVID-19 in Indonesia: Period of January to March 2020","type":"article-journal"},"uris":["http://www.mendeley.com/documents/?uuid=112a547e-d489-4624-a358-6f6108ca08ca"]}],"mendeley":{"formattedCitation":"(2)","plainTextFormattedCitation":"(2)","previouslyFormattedCitation":"(2)"},"properties":{"noteIndex":0},"schema":"https://github.com/citation-style-language/schema/raw/master/csl-citation.json"}</w:instrText>
      </w:r>
      <w:r w:rsidR="0061428F">
        <w:rPr>
          <w:rFonts w:ascii="Arial" w:hAnsi="Arial" w:cs="Arial"/>
          <w:sz w:val="20"/>
          <w:szCs w:val="20"/>
        </w:rPr>
        <w:fldChar w:fldCharType="separate"/>
      </w:r>
      <w:r w:rsidR="0061428F" w:rsidRPr="0061428F">
        <w:rPr>
          <w:rFonts w:ascii="Arial" w:hAnsi="Arial" w:cs="Arial"/>
          <w:noProof/>
          <w:sz w:val="20"/>
          <w:szCs w:val="20"/>
        </w:rPr>
        <w:t>(2)</w:t>
      </w:r>
      <w:r w:rsidR="0061428F">
        <w:rPr>
          <w:rFonts w:ascii="Arial" w:hAnsi="Arial" w:cs="Arial"/>
          <w:sz w:val="20"/>
          <w:szCs w:val="20"/>
        </w:rPr>
        <w:fldChar w:fldCharType="end"/>
      </w:r>
      <w:r w:rsidRPr="00452EAB">
        <w:rPr>
          <w:rFonts w:ascii="Arial" w:hAnsi="Arial" w:cs="Arial"/>
          <w:sz w:val="20"/>
          <w:szCs w:val="20"/>
        </w:rPr>
        <w:t xml:space="preserve">. </w:t>
      </w:r>
    </w:p>
    <w:p w14:paraId="598DEE5D" w14:textId="26FE0371" w:rsidR="00452EAB" w:rsidRPr="00452EAB" w:rsidRDefault="00452EAB" w:rsidP="00452EAB">
      <w:pPr>
        <w:pStyle w:val="NormalWeb"/>
        <w:spacing w:before="28" w:beforeAutospacing="0" w:afterLines="28" w:after="67" w:afterAutospacing="0" w:line="334" w:lineRule="auto"/>
        <w:ind w:firstLine="720"/>
        <w:contextualSpacing/>
        <w:jc w:val="both"/>
        <w:rPr>
          <w:rFonts w:ascii="Arial" w:hAnsi="Arial" w:cs="Arial"/>
          <w:sz w:val="20"/>
          <w:szCs w:val="20"/>
        </w:rPr>
      </w:pPr>
      <w:r w:rsidRPr="00452EAB">
        <w:rPr>
          <w:rFonts w:ascii="Arial" w:hAnsi="Arial" w:cs="Arial"/>
          <w:sz w:val="20"/>
          <w:szCs w:val="20"/>
        </w:rPr>
        <w:t xml:space="preserve">The severe impact of COVID-19 in the past two years has resulted in global efforts to build herd immunity starting from the individual level to the population level </w:t>
      </w:r>
      <w:r w:rsidR="0061428F">
        <w:rPr>
          <w:rFonts w:ascii="Arial" w:hAnsi="Arial" w:cs="Arial"/>
          <w:sz w:val="20"/>
          <w:szCs w:val="20"/>
        </w:rPr>
        <w:fldChar w:fldCharType="begin" w:fldLock="1"/>
      </w:r>
      <w:r w:rsidR="008048EE">
        <w:rPr>
          <w:rFonts w:ascii="Arial" w:hAnsi="Arial" w:cs="Arial"/>
          <w:sz w:val="20"/>
          <w:szCs w:val="20"/>
        </w:rPr>
        <w:instrText>ADDIN CSL_CITATION {"citationItems":[{"id":"ITEM-1","itemData":{"DOI":"10.3389/fimmu.2021.809244","ISSN":"16643224","PMID":"35046961","abstract":"Severe acute respiratory syndrome coronavirus 2 (SARS-CoV-2) is a new beta coronavirus that emerged at the end of 2019 in the Hubei province of China. SARS-CoV-2 causes coronavirus disease 2019 (COVID-19) and was declared a pandemic by the World Health Organization (WHO) on 11 March 2020. Herd or community immunity has been proposed as a strategy to protect the vulnerable, and can be established through immunity from past infection or vaccination. Whether SARS-CoV-2 infection results in the development of a reservoir of resilient memory cells is under investigation. Vaccines have been developed at an unprecedented rate and 7 408 870 760 vaccine doses have been administered worldwide. Recently emerged SARS-CoV-2 variants are more transmissible with a reduced sensitivity to immune mechanisms. This is due to the presence of amino acid substitutions in the spike protein, which confer a selective advantage. The emergence of variants therefore poses a risk for vaccine effectiveness and long-term immunity, and it is crucial therefore to determine the effectiveness of vaccines against currently circulating variants. Here we review both SARS-CoV-2-induced host immune activation and vaccine-induced immune responses, highlighting the responses of immune memory cells that are key indicators of host immunity. We further discuss how variants emerge and the currently circulating variants of concern (VOC), with particular focus on implications for vaccine effectiveness. Finally, we describe new antibody treatments and future vaccine approaches that will be important as we navigate through the COVID-19 pandemic.","author":[{"dropping-particle":"","family":"Mistry","given":"Priyal","non-dropping-particle":"","parse-names":false,"suffix":""},{"dropping-particle":"","family":"Barmania","given":"Fatima","non-dropping-particle":"","parse-names":false,"suffix":""},{"dropping-particle":"","family":"Mellet","given":"Juanita","non-dropping-particle":"","parse-names":false,"suffix":""},{"dropping-particle":"","family":"Peta","given":"Kimberly","non-dropping-particle":"","parse-names":false,"suffix":""},{"dropping-particle":"","family":"Strydom","given":"Adéle","non-dropping-particle":"","parse-names":false,"suffix":""},{"dropping-particle":"","family":"Viljoen","given":"Ignatius M.","non-dropping-particle":"","parse-names":false,"suffix":""},{"dropping-particle":"","family":"James","given":"William","non-dropping-particle":"","parse-names":false,"suffix":""},{"dropping-particle":"","family":"Gordon","given":"Siamon","non-dropping-particle":"","parse-names":false,"suffix":""},{"dropping-particle":"","family":"Pepper","given":"Michael S.","non-dropping-particle":"","parse-names":false,"suffix":""}],"container-title":"Frontiers in Immunology","id":"ITEM-1","issued":{"date-parts":[["2022"]]},"page":"1-21","title":"SARS-CoV-2 Variants, Vaccines, and Host Immunity","type":"article-journal","volume":"12"},"uris":["http://www.mendeley.com/documents/?uuid=cf7e9e15-d68b-42ab-9ce8-f38c42aa59ed"]}],"mendeley":{"formattedCitation":"(3)","plainTextFormattedCitation":"(3)","previouslyFormattedCitation":"(3)"},"properties":{"noteIndex":0},"schema":"https://github.com/citation-style-language/schema/raw/master/csl-citation.json"}</w:instrText>
      </w:r>
      <w:r w:rsidR="0061428F">
        <w:rPr>
          <w:rFonts w:ascii="Arial" w:hAnsi="Arial" w:cs="Arial"/>
          <w:sz w:val="20"/>
          <w:szCs w:val="20"/>
        </w:rPr>
        <w:fldChar w:fldCharType="separate"/>
      </w:r>
      <w:r w:rsidR="0061428F" w:rsidRPr="0061428F">
        <w:rPr>
          <w:rFonts w:ascii="Arial" w:hAnsi="Arial" w:cs="Arial"/>
          <w:noProof/>
          <w:sz w:val="20"/>
          <w:szCs w:val="20"/>
        </w:rPr>
        <w:t>(3)</w:t>
      </w:r>
      <w:r w:rsidR="0061428F">
        <w:rPr>
          <w:rFonts w:ascii="Arial" w:hAnsi="Arial" w:cs="Arial"/>
          <w:sz w:val="20"/>
          <w:szCs w:val="20"/>
        </w:rPr>
        <w:fldChar w:fldCharType="end"/>
      </w:r>
      <w:r w:rsidRPr="00452EAB">
        <w:rPr>
          <w:rFonts w:ascii="Arial" w:hAnsi="Arial" w:cs="Arial"/>
          <w:sz w:val="20"/>
          <w:szCs w:val="20"/>
        </w:rPr>
        <w:t>. Referring to national data, a total of 202,623,385 people (97%) have received the first dose of vaccine, while a total of 170,201649 people (81%) have received the second dose, and a total of 56,829,093 people (24%) have received the third dose (updated on August 4, 2022At least 70-85% of the population must receive vaccinations in order to acquire herd immunity. Public perceptions changes along with the changing condition of the pandemic</w:t>
      </w:r>
      <w:r w:rsidR="008048EE">
        <w:rPr>
          <w:rFonts w:ascii="Arial" w:hAnsi="Arial" w:cs="Arial"/>
          <w:sz w:val="20"/>
          <w:szCs w:val="20"/>
        </w:rPr>
        <w:t xml:space="preserve"> </w:t>
      </w:r>
      <w:r w:rsidR="008048EE">
        <w:rPr>
          <w:rFonts w:ascii="Arial" w:hAnsi="Arial" w:cs="Arial"/>
          <w:sz w:val="20"/>
          <w:szCs w:val="20"/>
        </w:rPr>
        <w:fldChar w:fldCharType="begin" w:fldLock="1"/>
      </w:r>
      <w:r w:rsidR="008048EE">
        <w:rPr>
          <w:rFonts w:ascii="Arial" w:hAnsi="Arial" w:cs="Arial"/>
          <w:sz w:val="20"/>
          <w:szCs w:val="20"/>
        </w:rPr>
        <w:instrText>ADDIN CSL_CITATION {"citationItems":[{"id":"ITEM-1","itemData":{"author":[{"dropping-particle":"","family":"Selvaraj","given":"Preethi","non-dropping-particle":"","parse-names":false,"suffix":""},{"dropping-particle":"","family":"Muthu","given":"Sathish","non-dropping-particle":"","parse-names":false,"suffix":""},{"dropping-particle":"","family":"Jeyaraman","given":"Naveen","non-dropping-particle":"","parse-names":false,"suffix":""}],"container-title":"Clinical Epidemiology and Global Health","id":"ITEM-1","issue":"January","issued":{"date-parts":[["2022"]]},"title":"Incidence and severity of SARS-CoV-2 virus post COVID-19 vaccination: A cross-sectional study in India","type":"article-journal"},"uris":["http://www.mendeley.com/documents/?uuid=96e7529d-a4e9-4285-8c70-24a4d8b9b4e7"]}],"mendeley":{"formattedCitation":"(4)","plainTextFormattedCitation":"(4)","previouslyFormattedCitation":"(4)"},"properties":{"noteIndex":0},"schema":"https://github.com/citation-style-language/schema/raw/master/csl-citation.json"}</w:instrText>
      </w:r>
      <w:r w:rsidR="008048EE">
        <w:rPr>
          <w:rFonts w:ascii="Arial" w:hAnsi="Arial" w:cs="Arial"/>
          <w:sz w:val="20"/>
          <w:szCs w:val="20"/>
        </w:rPr>
        <w:fldChar w:fldCharType="separate"/>
      </w:r>
      <w:r w:rsidR="008048EE" w:rsidRPr="008048EE">
        <w:rPr>
          <w:rFonts w:ascii="Arial" w:hAnsi="Arial" w:cs="Arial"/>
          <w:noProof/>
          <w:sz w:val="20"/>
          <w:szCs w:val="20"/>
        </w:rPr>
        <w:t>(4)</w:t>
      </w:r>
      <w:r w:rsidR="008048EE">
        <w:rPr>
          <w:rFonts w:ascii="Arial" w:hAnsi="Arial" w:cs="Arial"/>
          <w:sz w:val="20"/>
          <w:szCs w:val="20"/>
        </w:rPr>
        <w:fldChar w:fldCharType="end"/>
      </w:r>
      <w:r w:rsidRPr="00452EAB">
        <w:rPr>
          <w:rFonts w:ascii="Arial" w:hAnsi="Arial" w:cs="Arial"/>
          <w:sz w:val="20"/>
          <w:szCs w:val="20"/>
        </w:rPr>
        <w:t xml:space="preserve">. </w:t>
      </w:r>
    </w:p>
    <w:p w14:paraId="34FE483E" w14:textId="71114A51" w:rsidR="00452EAB" w:rsidRPr="0061428F" w:rsidRDefault="00452EAB" w:rsidP="0061428F">
      <w:pPr>
        <w:pStyle w:val="NormalWeb"/>
        <w:spacing w:before="28" w:beforeAutospacing="0" w:afterLines="28" w:after="67" w:afterAutospacing="0" w:line="334" w:lineRule="auto"/>
        <w:contextualSpacing/>
        <w:jc w:val="both"/>
        <w:rPr>
          <w:rFonts w:ascii="Arial" w:hAnsi="Arial" w:cs="Arial"/>
          <w:sz w:val="20"/>
          <w:szCs w:val="20"/>
        </w:rPr>
      </w:pPr>
      <w:r w:rsidRPr="00452EAB">
        <w:rPr>
          <w:rFonts w:ascii="Arial" w:hAnsi="Arial" w:cs="Arial"/>
          <w:sz w:val="20"/>
          <w:szCs w:val="20"/>
        </w:rPr>
        <w:t xml:space="preserve">There is currently no licensed coronavirus vaccine for human use. Therefore the rapid research and </w:t>
      </w:r>
      <w:r w:rsidRPr="00452EAB">
        <w:rPr>
          <w:rFonts w:ascii="Arial" w:hAnsi="Arial" w:cs="Arial"/>
          <w:sz w:val="20"/>
          <w:szCs w:val="20"/>
        </w:rPr>
        <w:lastRenderedPageBreak/>
        <w:t xml:space="preserve">development cycle and the scant post-vaccination monitoring raise significant public concerns regarding the safety of the COVID-19 vaccine candidate, particularly for the new platform like RNA vaccines. A common defence for not having the immunization is that there are "concerns regarding the safety of the vaccine in development" and "potential harmful effects”. Adverse events following immunization (AEFI) have increased since the widespread use of vaccination, especially the infrequent one </w:t>
      </w:r>
      <w:r w:rsidR="008048EE">
        <w:rPr>
          <w:rFonts w:ascii="Arial" w:hAnsi="Arial" w:cs="Arial"/>
          <w:sz w:val="20"/>
          <w:szCs w:val="20"/>
        </w:rPr>
        <w:fldChar w:fldCharType="begin" w:fldLock="1"/>
      </w:r>
      <w:r w:rsidR="008048EE">
        <w:rPr>
          <w:rFonts w:ascii="Arial" w:hAnsi="Arial" w:cs="Arial"/>
          <w:sz w:val="20"/>
          <w:szCs w:val="20"/>
        </w:rPr>
        <w:instrText>ADDIN CSL_CITATION {"citationItems":[{"id":"ITEM-1","itemData":{"DOI":"10.1186/s12916-021-02059-5","ISBN":"1291602102059","ISSN":"17417015","PMID":"34315454","abstract":"Background: The rapid process of research and development and lack of follow-up time post-vaccination aroused great public concern about the safety profile of COVID-19 vaccine candidates. To provide comprehensive overview of the safety profile of COVID-19 vaccines by using meta-analysis technique. Methods: English-language articles and results posted on PubMed, Embase, Web of Science, PMC, official regulatory websites, and post-authorization safety surveillance data were searched through June 12, 2021. Publications disclosing safety data of COVID-19 candidate vaccines in humans were included. A meta-analysis of proportions was performed to estimate the pooled incidence and the pooled rate ratio (RR) of safety outcomes of COVID-19 vaccines using different platforms. Results: A total of 87 publications with safety data from clinical trials and post-authorization studies of 19 COVID-19 vaccines on 6 different platforms were included. The pooled rates of local and systemic reactions were significantly lower among inactivated vaccines (23.7%, 21.0%), protein subunit vaccines (33.0%, 22.3%), and DNA vaccines (39.5%, 29.3%), compared to RNA vaccines (89.4%, 83.3%), non-replicating vector vaccines (55.9%, 66.3%), and virus-like particle vaccines (100.0%, 78.9%). Solicited injection-site pain was the most common local reactions, and fatigue and headache were the most common systemic reactions. The frequency of vaccine-related serious adverse events was low (&lt; 0.1%) and balanced between treatment groups. Vaccine platforms and age groups of vaccine recipients accounted for much of the heterogeneity in safety profiles between COVID-19 vaccines. Reporting rates of adverse events from post-authorization observational studies were similar to results from clinical trials. Crude reporting rates of adverse events from post-authorization safety monitoring (passive surveillance) were lower than in clinical trials and varied between countries. Conclusions: Available evidence indicates that eligible COVID-19 vaccines have an acceptable short-term safety profile. Additional studies and long-term population-level surveillance are strongly encouraged to further define the safety profile of COVID-19 vaccines.","author":[{"dropping-particle":"","family":"Wu","given":"Qianhui","non-dropping-particle":"","parse-names":false,"suffix":""},{"dropping-particle":"","family":"Dudley","given":"Matthew Z.","non-dropping-particle":"","parse-names":false,"suffix":""},{"dropping-particle":"","family":"Chen","given":"Xinghui","non-dropping-particle":"","parse-names":false,"suffix":""},{"dropping-particle":"","family":"Bai","given":"Xufang","non-dropping-particle":"","parse-names":false,"suffix":""},{"dropping-particle":"","family":"Dong","given":"Kaige","non-dropping-particle":"","parse-names":false,"suffix":""},{"dropping-particle":"","family":"Zhuang","given":"Tingyu","non-dropping-particle":"","parse-names":false,"suffix":""},{"dropping-particle":"","family":"Salmon","given":"Daniel","non-dropping-particle":"","parse-names":false,"suffix":""},{"dropping-particle":"","family":"Yu","given":"Hongjie","non-dropping-particle":"","parse-names":false,"suffix":""}],"container-title":"BMC Medicine","id":"ITEM-1","issue":"1","issued":{"date-parts":[["2021"]]},"page":"1-16","publisher":"BMC Medicine","title":"Evaluation of the safety profile of COVID-19 vaccines: a rapid review","type":"article-journal","volume":"19"},"uris":["http://www.mendeley.com/documents/?uuid=f962650d-762a-4d32-a723-985e4f7d1fd6"]}],"mendeley":{"formattedCitation":"(5)","plainTextFormattedCitation":"(5)","previouslyFormattedCitation":"(5)"},"properties":{"noteIndex":0},"schema":"https://github.com/citation-style-language/schema/raw/master/csl-citation.json"}</w:instrText>
      </w:r>
      <w:r w:rsidR="008048EE">
        <w:rPr>
          <w:rFonts w:ascii="Arial" w:hAnsi="Arial" w:cs="Arial"/>
          <w:sz w:val="20"/>
          <w:szCs w:val="20"/>
        </w:rPr>
        <w:fldChar w:fldCharType="separate"/>
      </w:r>
      <w:r w:rsidR="008048EE" w:rsidRPr="008048EE">
        <w:rPr>
          <w:rFonts w:ascii="Arial" w:hAnsi="Arial" w:cs="Arial"/>
          <w:noProof/>
          <w:sz w:val="20"/>
          <w:szCs w:val="20"/>
        </w:rPr>
        <w:t>(5)</w:t>
      </w:r>
      <w:r w:rsidR="008048EE">
        <w:rPr>
          <w:rFonts w:ascii="Arial" w:hAnsi="Arial" w:cs="Arial"/>
          <w:sz w:val="20"/>
          <w:szCs w:val="20"/>
        </w:rPr>
        <w:fldChar w:fldCharType="end"/>
      </w:r>
      <w:r w:rsidRPr="00452EAB">
        <w:rPr>
          <w:rFonts w:ascii="Arial" w:hAnsi="Arial" w:cs="Arial"/>
          <w:sz w:val="20"/>
          <w:szCs w:val="20"/>
        </w:rPr>
        <w:t xml:space="preserve">. Based on the Indonesian Society of Internal Medicine (PAPDI), AEFI should be monitored due to at least four reasons. First of all, no vaccine is completely risk-free and safe. Second, it's critical to understand the dangers and how to manage them as they manifest. Third, to preserve public confidence in the immunization program, it is crucial to notify the public </w:t>
      </w:r>
      <w:r w:rsidRPr="0061428F">
        <w:rPr>
          <w:rFonts w:ascii="Arial" w:hAnsi="Arial" w:cs="Arial"/>
          <w:sz w:val="20"/>
          <w:szCs w:val="20"/>
        </w:rPr>
        <w:t xml:space="preserve">about AEFIs appropriately. Lastly, monitoring AEFIs contributes to better service quality </w:t>
      </w:r>
      <w:r w:rsidR="008048EE">
        <w:rPr>
          <w:rFonts w:ascii="Arial" w:hAnsi="Arial" w:cs="Arial"/>
          <w:sz w:val="20"/>
          <w:szCs w:val="20"/>
        </w:rPr>
        <w:fldChar w:fldCharType="begin" w:fldLock="1"/>
      </w:r>
      <w:r w:rsidR="002A60E3">
        <w:rPr>
          <w:rFonts w:ascii="Arial" w:hAnsi="Arial" w:cs="Arial"/>
          <w:sz w:val="20"/>
          <w:szCs w:val="20"/>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Richard","author":[{"dropping-particle":"","family":"Sukamto Koesnoe","given":"","non-dropping-particle":"","parse-names":false,"suffix":""}],"container-title":"Perhimpunan Dokter Spesialis Penyakit Dalam Indonesia","id":"ITEM-1","issued":{"date-parts":[["2021"]]},"page":"1-65","title":"Teknis Pelaksanaan Vaksin Covid dan Antisipasi KIPI","type":"article-journal"},"uris":["http://www.mendeley.com/documents/?uuid=c33540f7-bff1-401e-8414-277951d069dd"]}],"mendeley":{"formattedCitation":"(6)","plainTextFormattedCitation":"(6)","previouslyFormattedCitation":"(6)"},"properties":{"noteIndex":0},"schema":"https://github.com/citation-style-language/schema/raw/master/csl-citation.json"}</w:instrText>
      </w:r>
      <w:r w:rsidR="008048EE">
        <w:rPr>
          <w:rFonts w:ascii="Arial" w:hAnsi="Arial" w:cs="Arial"/>
          <w:sz w:val="20"/>
          <w:szCs w:val="20"/>
        </w:rPr>
        <w:fldChar w:fldCharType="separate"/>
      </w:r>
      <w:r w:rsidR="008048EE" w:rsidRPr="008048EE">
        <w:rPr>
          <w:rFonts w:ascii="Arial" w:hAnsi="Arial" w:cs="Arial"/>
          <w:noProof/>
          <w:sz w:val="20"/>
          <w:szCs w:val="20"/>
        </w:rPr>
        <w:t>(6)</w:t>
      </w:r>
      <w:r w:rsidR="008048EE">
        <w:rPr>
          <w:rFonts w:ascii="Arial" w:hAnsi="Arial" w:cs="Arial"/>
          <w:sz w:val="20"/>
          <w:szCs w:val="20"/>
        </w:rPr>
        <w:fldChar w:fldCharType="end"/>
      </w:r>
      <w:r w:rsidRPr="0061428F">
        <w:rPr>
          <w:rFonts w:ascii="Arial" w:hAnsi="Arial" w:cs="Arial"/>
          <w:sz w:val="20"/>
          <w:szCs w:val="20"/>
        </w:rPr>
        <w:t xml:space="preserve">. </w:t>
      </w:r>
    </w:p>
    <w:p w14:paraId="2E8A9C05" w14:textId="28956D99" w:rsidR="0061428F" w:rsidRDefault="00452EAB" w:rsidP="0061428F">
      <w:pPr>
        <w:pStyle w:val="NormalWeb"/>
        <w:spacing w:line="334" w:lineRule="auto"/>
        <w:ind w:firstLine="720"/>
        <w:contextualSpacing/>
        <w:jc w:val="both"/>
        <w:rPr>
          <w:rFonts w:ascii="Arial" w:hAnsi="Arial" w:cs="Arial"/>
          <w:sz w:val="20"/>
          <w:szCs w:val="20"/>
        </w:rPr>
      </w:pPr>
      <w:r w:rsidRPr="0061428F">
        <w:rPr>
          <w:rFonts w:ascii="Arial" w:hAnsi="Arial" w:cs="Arial"/>
          <w:sz w:val="20"/>
          <w:szCs w:val="20"/>
        </w:rPr>
        <w:t xml:space="preserve">In consideration of the COVID-19 history, certain unfriendly public impressions surrounding the vaccine's side effects, the low level of AEFI reports, and limited scientific evidence of AEFI in Indonesia, based on the severity of AEFIs at the University of Indonesia Hospital, researchers are motivated to </w:t>
      </w:r>
      <w:bookmarkEnd w:id="0"/>
      <w:bookmarkEnd w:id="1"/>
      <w:r w:rsidR="0061428F" w:rsidRPr="0061428F">
        <w:rPr>
          <w:rFonts w:ascii="Arial" w:hAnsi="Arial" w:cs="Arial"/>
          <w:sz w:val="20"/>
          <w:szCs w:val="20"/>
        </w:rPr>
        <w:t xml:space="preserve">conduct this research to discover the potential risks that influence the vaccine's efficacy. </w:t>
      </w:r>
    </w:p>
    <w:p w14:paraId="21704BA8" w14:textId="6C133F46" w:rsidR="00F46990" w:rsidRDefault="00F46990" w:rsidP="0061428F">
      <w:pPr>
        <w:pStyle w:val="NormalWeb"/>
        <w:spacing w:line="334" w:lineRule="auto"/>
        <w:ind w:firstLine="720"/>
        <w:contextualSpacing/>
        <w:jc w:val="both"/>
        <w:rPr>
          <w:rFonts w:ascii="Arial" w:hAnsi="Arial" w:cs="Arial"/>
          <w:sz w:val="20"/>
          <w:szCs w:val="20"/>
        </w:rPr>
      </w:pPr>
    </w:p>
    <w:p w14:paraId="396F5911" w14:textId="768CEA3D" w:rsidR="00F46990" w:rsidRPr="00F46990" w:rsidRDefault="00F46990" w:rsidP="00F46990">
      <w:pPr>
        <w:pStyle w:val="NormalWeb"/>
        <w:spacing w:line="334" w:lineRule="auto"/>
        <w:contextualSpacing/>
        <w:jc w:val="both"/>
        <w:rPr>
          <w:rFonts w:ascii="Arial" w:hAnsi="Arial" w:cs="Arial"/>
          <w:b/>
          <w:bCs/>
          <w:color w:val="363435"/>
          <w:sz w:val="20"/>
          <w:szCs w:val="20"/>
        </w:rPr>
      </w:pPr>
      <w:r w:rsidRPr="00F46990">
        <w:rPr>
          <w:rFonts w:ascii="Arial" w:hAnsi="Arial" w:cs="Arial"/>
          <w:b/>
          <w:bCs/>
          <w:color w:val="363435"/>
          <w:sz w:val="20"/>
          <w:szCs w:val="20"/>
        </w:rPr>
        <w:t>METHODS</w:t>
      </w:r>
    </w:p>
    <w:p w14:paraId="7042D2EB" w14:textId="768CEA3D" w:rsidR="00F46990" w:rsidRPr="00F46990" w:rsidRDefault="00F46990" w:rsidP="00F46990">
      <w:pPr>
        <w:pStyle w:val="NormalWeb"/>
        <w:spacing w:line="334" w:lineRule="auto"/>
        <w:contextualSpacing/>
        <w:jc w:val="both"/>
        <w:rPr>
          <w:rFonts w:ascii="Arial" w:hAnsi="Arial" w:cs="Arial"/>
          <w:sz w:val="20"/>
          <w:szCs w:val="20"/>
        </w:rPr>
      </w:pPr>
      <w:r w:rsidRPr="00F46990">
        <w:rPr>
          <w:rFonts w:ascii="Arial" w:hAnsi="Arial" w:cs="Arial"/>
          <w:b/>
          <w:bCs/>
          <w:sz w:val="20"/>
          <w:szCs w:val="20"/>
        </w:rPr>
        <w:t xml:space="preserve">Study Design and Population </w:t>
      </w:r>
    </w:p>
    <w:p w14:paraId="671ABC6B" w14:textId="77777777" w:rsidR="00F12F46" w:rsidRPr="006C2554" w:rsidRDefault="00F46990" w:rsidP="00F12F46">
      <w:pPr>
        <w:pStyle w:val="NormalWeb"/>
        <w:spacing w:line="334" w:lineRule="auto"/>
        <w:contextualSpacing/>
        <w:jc w:val="both"/>
        <w:rPr>
          <w:rFonts w:ascii="Arial" w:hAnsi="Arial" w:cs="Arial"/>
          <w:sz w:val="20"/>
          <w:szCs w:val="20"/>
        </w:rPr>
      </w:pPr>
      <w:r w:rsidRPr="00F46990">
        <w:rPr>
          <w:rFonts w:ascii="Arial" w:hAnsi="Arial" w:cs="Arial"/>
          <w:sz w:val="20"/>
          <w:szCs w:val="20"/>
        </w:rPr>
        <w:t xml:space="preserve">This observational study assessed the effectiveness of the Pfizer and Sinovac vaccines using a non- experimental, descriptive, cross-sectional study design. Research participants who received vaccinations at the University of Indonesia Hospital were directly interviewed to gather data prospectively. Besides, this study used online forms to collect the required information from participants. The information was then categorized and monitoring </w:t>
      </w:r>
      <w:r w:rsidR="00F12F46" w:rsidRPr="00F46990">
        <w:rPr>
          <w:rFonts w:ascii="Arial" w:hAnsi="Arial" w:cs="Arial"/>
          <w:sz w:val="20"/>
          <w:szCs w:val="20"/>
        </w:rPr>
        <w:t xml:space="preserve">was done for 28 days. This research was conducted </w:t>
      </w:r>
    </w:p>
    <w:p w14:paraId="7E406AD8" w14:textId="7F9DD3F7" w:rsidR="00F46990" w:rsidRPr="006C2554" w:rsidRDefault="00F12F46" w:rsidP="00F12F46">
      <w:pPr>
        <w:pStyle w:val="NormalWeb"/>
        <w:spacing w:line="334" w:lineRule="auto"/>
        <w:contextualSpacing/>
        <w:jc w:val="both"/>
        <w:rPr>
          <w:rFonts w:ascii="Arial" w:hAnsi="Arial" w:cs="Arial"/>
          <w:sz w:val="20"/>
          <w:szCs w:val="20"/>
        </w:rPr>
      </w:pPr>
      <w:r w:rsidRPr="00F46990">
        <w:rPr>
          <w:rFonts w:ascii="Arial" w:hAnsi="Arial" w:cs="Arial"/>
          <w:sz w:val="20"/>
          <w:szCs w:val="20"/>
        </w:rPr>
        <w:t>at the University of Indonesia Hospital in August - September 2022. Data monitoring was done successively based on the following timeline</w:t>
      </w:r>
      <w:r>
        <w:rPr>
          <w:rFonts w:ascii="Arial" w:hAnsi="Arial" w:cs="Arial"/>
          <w:sz w:val="20"/>
          <w:szCs w:val="20"/>
        </w:rPr>
        <w:t xml:space="preserve">. </w:t>
      </w:r>
      <w:r w:rsidRPr="00F12F46">
        <w:rPr>
          <w:rFonts w:ascii="Arial" w:hAnsi="Arial" w:cs="Arial"/>
          <w:sz w:val="20"/>
          <w:szCs w:val="20"/>
        </w:rPr>
        <w:t>The</w:t>
      </w:r>
      <w:r>
        <w:rPr>
          <w:rFonts w:ascii="Arial" w:hAnsi="Arial" w:cs="Arial"/>
          <w:sz w:val="20"/>
          <w:szCs w:val="20"/>
        </w:rPr>
        <w:t xml:space="preserve"> </w:t>
      </w:r>
      <w:r w:rsidRPr="00F12F46">
        <w:rPr>
          <w:rFonts w:ascii="Arial" w:hAnsi="Arial" w:cs="Arial"/>
          <w:sz w:val="20"/>
          <w:szCs w:val="20"/>
        </w:rPr>
        <w:t>timeline for monitoring AEFI events is carried out in the first 15 minutes during observation at the hospital,</w:t>
      </w:r>
    </w:p>
    <w:p w14:paraId="41BA0569" w14:textId="4CE3B9E5" w:rsidR="00F46990" w:rsidRPr="00F46990" w:rsidRDefault="00F46990" w:rsidP="00F46990">
      <w:pPr>
        <w:pStyle w:val="NormalWeb"/>
        <w:spacing w:line="334" w:lineRule="auto"/>
        <w:contextualSpacing/>
        <w:jc w:val="both"/>
        <w:rPr>
          <w:rFonts w:ascii="Arial" w:hAnsi="Arial" w:cs="Arial"/>
          <w:sz w:val="20"/>
          <w:szCs w:val="20"/>
        </w:rPr>
      </w:pPr>
      <w:r>
        <w:rPr>
          <w:rFonts w:ascii="Arial" w:hAnsi="Arial" w:cs="Arial"/>
          <w:sz w:val="20"/>
          <w:szCs w:val="20"/>
        </w:rPr>
        <w:br w:type="column"/>
      </w:r>
      <w:r w:rsidR="00F12F46" w:rsidRPr="00F12F46">
        <w:rPr>
          <w:rFonts w:ascii="Arial" w:hAnsi="Arial" w:cs="Arial"/>
          <w:sz w:val="20"/>
          <w:szCs w:val="20"/>
        </w:rPr>
        <w:t>15 minutes-24 hours, 24-48 hours, 48 hours - 7 days and the next 7-28 days respectively.</w:t>
      </w:r>
      <w:r w:rsidR="00F12F46">
        <w:rPr>
          <w:rFonts w:ascii="Arial" w:hAnsi="Arial" w:cs="Arial"/>
          <w:sz w:val="20"/>
          <w:szCs w:val="20"/>
        </w:rPr>
        <w:t xml:space="preserve"> </w:t>
      </w:r>
      <w:r w:rsidRPr="00F46990">
        <w:rPr>
          <w:rFonts w:ascii="Arial" w:hAnsi="Arial" w:cs="Arial"/>
          <w:sz w:val="20"/>
          <w:szCs w:val="20"/>
        </w:rPr>
        <w:t xml:space="preserve">A Google Form in Indonesian was created with a 5-minute completion time for the questionnaire to evaluate AEFI. Therefore, according to the timeframe for the research at the University of Indonesia Hospital, the questionnaire covered an AEFI evaluation with five steps. </w:t>
      </w:r>
    </w:p>
    <w:p w14:paraId="4AE8D3A9" w14:textId="77777777" w:rsidR="00F46990" w:rsidRDefault="00F46990" w:rsidP="00F46990">
      <w:pPr>
        <w:pStyle w:val="NormalWeb"/>
        <w:spacing w:line="334" w:lineRule="auto"/>
        <w:contextualSpacing/>
        <w:jc w:val="both"/>
        <w:rPr>
          <w:rFonts w:ascii="Arial" w:hAnsi="Arial" w:cs="Arial"/>
          <w:b/>
          <w:bCs/>
          <w:sz w:val="20"/>
          <w:szCs w:val="20"/>
        </w:rPr>
      </w:pPr>
    </w:p>
    <w:p w14:paraId="7BA80330" w14:textId="7B4F4226" w:rsidR="00F46990" w:rsidRPr="00F46990" w:rsidRDefault="00F46990" w:rsidP="00F46990">
      <w:pPr>
        <w:pStyle w:val="NormalWeb"/>
        <w:spacing w:line="334" w:lineRule="auto"/>
        <w:contextualSpacing/>
        <w:jc w:val="both"/>
        <w:rPr>
          <w:rFonts w:ascii="Arial" w:hAnsi="Arial" w:cs="Arial"/>
          <w:sz w:val="20"/>
          <w:szCs w:val="20"/>
        </w:rPr>
      </w:pPr>
      <w:r w:rsidRPr="00F46990">
        <w:rPr>
          <w:rFonts w:ascii="Arial" w:hAnsi="Arial" w:cs="Arial"/>
          <w:b/>
          <w:bCs/>
          <w:sz w:val="20"/>
          <w:szCs w:val="20"/>
        </w:rPr>
        <w:t xml:space="preserve">Data Collection and Analysis </w:t>
      </w:r>
    </w:p>
    <w:p w14:paraId="0269B2B7" w14:textId="381FF9C8" w:rsidR="006C2554" w:rsidRDefault="00F46990" w:rsidP="00F46990">
      <w:pPr>
        <w:pStyle w:val="NormalWeb"/>
        <w:spacing w:line="334" w:lineRule="auto"/>
        <w:contextualSpacing/>
        <w:jc w:val="both"/>
        <w:rPr>
          <w:rFonts w:ascii="Arial" w:hAnsi="Arial" w:cs="Arial"/>
          <w:sz w:val="20"/>
          <w:szCs w:val="20"/>
        </w:rPr>
      </w:pPr>
      <w:r w:rsidRPr="00F46990">
        <w:rPr>
          <w:rFonts w:ascii="Arial" w:hAnsi="Arial" w:cs="Arial"/>
          <w:sz w:val="20"/>
          <w:szCs w:val="20"/>
        </w:rPr>
        <w:t xml:space="preserve">Participants completed a survey in the form of a Google Form containing personal identity, medical conditions, and perceived AEFI complaints. Questionnaire data were filled in 5 stages according to the timeline. Personal data in the questionnaire covered name, gender, telephone number, date of birth, weight and height, blood type, occupation, the previous dose of vaccine and the dose received during vaccination at the University of Indonesia Hospital during recruitment. The questionnaire's medical information also includes comorbidities, allergy and covid-19 histories, hospitalizations in the last three months, and drug use in the previous six months. The questionnaire had closed-ended inquiries concerning AEFI concerns. The questionnaire sheet used in the survey is shown in the </w:t>
      </w:r>
      <w:r w:rsidRPr="00F46990">
        <w:rPr>
          <w:rFonts w:ascii="Arial" w:hAnsi="Arial" w:cs="Arial"/>
          <w:b/>
          <w:bCs/>
          <w:sz w:val="20"/>
          <w:szCs w:val="20"/>
        </w:rPr>
        <w:t xml:space="preserve">Supplementary Data </w:t>
      </w:r>
      <w:r w:rsidR="007E17ED">
        <w:rPr>
          <w:rFonts w:ascii="Arial" w:hAnsi="Arial" w:cs="Arial"/>
          <w:b/>
          <w:bCs/>
          <w:sz w:val="20"/>
          <w:szCs w:val="20"/>
        </w:rPr>
        <w:t>3</w:t>
      </w:r>
      <w:r w:rsidRPr="00F46990">
        <w:rPr>
          <w:rFonts w:ascii="Arial" w:hAnsi="Arial" w:cs="Arial"/>
          <w:sz w:val="20"/>
          <w:szCs w:val="20"/>
        </w:rPr>
        <w:t xml:space="preserve">. The information from the questionnaire was entered into a Microsoft Excel sheet and statistically examined using SPSS 25 and Microsoft Excel. The incidence of AEFI was compared with gender, </w:t>
      </w:r>
      <w:r w:rsidR="007666EC">
        <w:rPr>
          <w:rFonts w:ascii="Arial" w:hAnsi="Arial" w:cs="Arial"/>
          <w:sz w:val="20"/>
          <w:szCs w:val="20"/>
        </w:rPr>
        <w:t xml:space="preserve">age, BMI, </w:t>
      </w:r>
      <w:r w:rsidRPr="00F46990">
        <w:rPr>
          <w:rFonts w:ascii="Arial" w:hAnsi="Arial" w:cs="Arial"/>
          <w:sz w:val="20"/>
          <w:szCs w:val="20"/>
        </w:rPr>
        <w:t xml:space="preserve">comorbidities, vaccine types, history of allergies, prior COVID-19, history of hospital admission in the previous three months, and history of medication in the last six months using the Chi-square test. The significance level (p = 0.05) was used to perform statistical comparisons. </w:t>
      </w:r>
    </w:p>
    <w:p w14:paraId="64F566A6" w14:textId="77777777" w:rsidR="00F12F46" w:rsidRDefault="00F12F46" w:rsidP="00F46990">
      <w:pPr>
        <w:pStyle w:val="NormalWeb"/>
        <w:spacing w:line="334" w:lineRule="auto"/>
        <w:contextualSpacing/>
        <w:jc w:val="both"/>
        <w:rPr>
          <w:rFonts w:ascii="Arial" w:hAnsi="Arial" w:cs="Arial"/>
          <w:sz w:val="20"/>
          <w:szCs w:val="20"/>
        </w:rPr>
      </w:pPr>
    </w:p>
    <w:p w14:paraId="356FE0A5" w14:textId="77777777" w:rsidR="00F12F46" w:rsidRDefault="00F12F46" w:rsidP="00F12F46">
      <w:pPr>
        <w:pStyle w:val="NormalWeb"/>
        <w:spacing w:line="334" w:lineRule="auto"/>
        <w:ind w:right="-15"/>
        <w:contextualSpacing/>
        <w:rPr>
          <w:rFonts w:ascii="BookAntiqua" w:hAnsi="BookAntiqua"/>
          <w:sz w:val="20"/>
          <w:szCs w:val="20"/>
        </w:rPr>
      </w:pPr>
      <w:r w:rsidRPr="00F46990">
        <w:rPr>
          <w:rFonts w:ascii="Arial" w:hAnsi="Arial" w:cs="Arial"/>
          <w:b/>
          <w:bCs/>
          <w:sz w:val="20"/>
          <w:szCs w:val="20"/>
        </w:rPr>
        <w:t>Ethical</w:t>
      </w:r>
      <w:r>
        <w:rPr>
          <w:rFonts w:ascii="Arial" w:hAnsi="Arial" w:cs="Arial"/>
          <w:b/>
          <w:bCs/>
          <w:sz w:val="20"/>
          <w:szCs w:val="20"/>
        </w:rPr>
        <w:t xml:space="preserve"> </w:t>
      </w:r>
      <w:r w:rsidRPr="00F46990">
        <w:rPr>
          <w:rFonts w:ascii="Arial" w:hAnsi="Arial" w:cs="Arial"/>
          <w:b/>
          <w:bCs/>
          <w:sz w:val="20"/>
          <w:szCs w:val="20"/>
        </w:rPr>
        <w:t>Clearance</w:t>
      </w:r>
      <w:r w:rsidRPr="00F46990">
        <w:rPr>
          <w:rFonts w:ascii="Arial" w:hAnsi="Arial" w:cs="Arial"/>
          <w:b/>
          <w:bCs/>
          <w:i/>
          <w:iCs/>
          <w:sz w:val="20"/>
          <w:szCs w:val="20"/>
        </w:rPr>
        <w:br/>
      </w:r>
      <w:r w:rsidRPr="00F46990">
        <w:rPr>
          <w:rFonts w:ascii="Arial" w:hAnsi="Arial" w:cs="Arial"/>
          <w:sz w:val="20"/>
          <w:szCs w:val="20"/>
        </w:rPr>
        <w:t xml:space="preserve">The University of Indonesia Hospital Ethics Committee has accepted this study under approval number </w:t>
      </w:r>
      <w:r>
        <w:rPr>
          <w:rFonts w:ascii="BookAntiqua" w:hAnsi="BookAntiqua"/>
          <w:sz w:val="20"/>
          <w:szCs w:val="20"/>
        </w:rPr>
        <w:t xml:space="preserve">S-033/KETLIT/RSUI/VIII/2022 with protocol number 2022-07-165. </w:t>
      </w:r>
    </w:p>
    <w:p w14:paraId="6CCA2F3F" w14:textId="3F7ACC1E" w:rsidR="00F12F46" w:rsidRDefault="00F12F46" w:rsidP="00F46990">
      <w:pPr>
        <w:pStyle w:val="NormalWeb"/>
        <w:spacing w:line="334" w:lineRule="auto"/>
        <w:contextualSpacing/>
        <w:jc w:val="both"/>
        <w:rPr>
          <w:rFonts w:ascii="Arial" w:hAnsi="Arial" w:cs="Arial"/>
          <w:sz w:val="20"/>
          <w:szCs w:val="20"/>
        </w:rPr>
        <w:sectPr w:rsidR="00F12F46" w:rsidSect="00F105D1">
          <w:headerReference w:type="first" r:id="rId15"/>
          <w:footerReference w:type="first" r:id="rId16"/>
          <w:type w:val="continuous"/>
          <w:pgSz w:w="11906" w:h="16838" w:code="9"/>
          <w:pgMar w:top="1418" w:right="907" w:bottom="868" w:left="964" w:header="709" w:footer="709" w:gutter="0"/>
          <w:cols w:num="2" w:space="708"/>
          <w:titlePg/>
          <w:docGrid w:linePitch="360"/>
        </w:sectPr>
      </w:pPr>
    </w:p>
    <w:p w14:paraId="5FAB415E" w14:textId="632CFF1C" w:rsidR="00F46990" w:rsidRPr="00F46990" w:rsidRDefault="00F46990" w:rsidP="00F46990">
      <w:pPr>
        <w:pStyle w:val="NormalWeb"/>
        <w:spacing w:line="334" w:lineRule="auto"/>
        <w:contextualSpacing/>
        <w:jc w:val="both"/>
        <w:rPr>
          <w:rFonts w:ascii="Arial" w:hAnsi="Arial" w:cs="Arial"/>
          <w:sz w:val="20"/>
          <w:szCs w:val="20"/>
        </w:rPr>
        <w:sectPr w:rsidR="00F46990" w:rsidRPr="00F46990" w:rsidSect="006C2554">
          <w:type w:val="continuous"/>
          <w:pgSz w:w="11906" w:h="16838" w:code="9"/>
          <w:pgMar w:top="1418" w:right="907" w:bottom="868" w:left="964" w:header="709" w:footer="709" w:gutter="0"/>
          <w:cols w:space="708"/>
          <w:titlePg/>
          <w:docGrid w:linePitch="360"/>
        </w:sectPr>
      </w:pPr>
    </w:p>
    <w:p w14:paraId="47F7AA6F" w14:textId="77777777" w:rsidR="00F46990" w:rsidRDefault="00F46990" w:rsidP="00F46990">
      <w:pPr>
        <w:pStyle w:val="NormalWeb"/>
        <w:spacing w:line="334" w:lineRule="auto"/>
        <w:ind w:right="-15"/>
        <w:contextualSpacing/>
        <w:rPr>
          <w:rFonts w:ascii="Arial" w:hAnsi="Arial" w:cs="Arial"/>
          <w:b/>
          <w:bCs/>
          <w:sz w:val="20"/>
          <w:szCs w:val="20"/>
        </w:rPr>
        <w:sectPr w:rsidR="00F46990" w:rsidSect="006C2554">
          <w:type w:val="continuous"/>
          <w:pgSz w:w="11906" w:h="16838" w:code="9"/>
          <w:pgMar w:top="1418" w:right="907" w:bottom="868" w:left="964" w:header="709" w:footer="709" w:gutter="0"/>
          <w:cols w:space="708"/>
          <w:titlePg/>
          <w:docGrid w:linePitch="360"/>
        </w:sectPr>
      </w:pPr>
    </w:p>
    <w:p w14:paraId="238368F8" w14:textId="77777777" w:rsidR="006C2554" w:rsidRDefault="006C2554" w:rsidP="00F46990">
      <w:pPr>
        <w:pStyle w:val="NormalWeb"/>
        <w:spacing w:line="334" w:lineRule="auto"/>
        <w:ind w:right="-15"/>
        <w:contextualSpacing/>
        <w:rPr>
          <w:rFonts w:ascii="Arial" w:hAnsi="Arial" w:cs="Arial"/>
          <w:b/>
          <w:bCs/>
          <w:sz w:val="20"/>
          <w:szCs w:val="20"/>
        </w:rPr>
        <w:sectPr w:rsidR="006C2554" w:rsidSect="00F105D1">
          <w:type w:val="continuous"/>
          <w:pgSz w:w="11906" w:h="16838" w:code="9"/>
          <w:pgMar w:top="1418" w:right="907" w:bottom="868" w:left="964" w:header="709" w:footer="709" w:gutter="0"/>
          <w:cols w:num="2" w:space="708"/>
          <w:titlePg/>
          <w:docGrid w:linePitch="360"/>
        </w:sectPr>
      </w:pPr>
    </w:p>
    <w:p w14:paraId="7CB53CF1" w14:textId="6C9286E7" w:rsidR="00F46990" w:rsidRPr="00904932" w:rsidRDefault="00904932" w:rsidP="00F46990">
      <w:pPr>
        <w:pStyle w:val="NormalWeb"/>
        <w:rPr>
          <w:rFonts w:ascii="Arial" w:hAnsi="Arial" w:cs="Arial"/>
          <w:b/>
          <w:bCs/>
          <w:color w:val="363435"/>
          <w:sz w:val="20"/>
          <w:szCs w:val="20"/>
        </w:rPr>
      </w:pPr>
      <w:r w:rsidRPr="00904932">
        <w:rPr>
          <w:rFonts w:ascii="Arial" w:hAnsi="Arial" w:cs="Arial"/>
          <w:b/>
          <w:bCs/>
          <w:color w:val="363435"/>
          <w:sz w:val="20"/>
          <w:szCs w:val="20"/>
        </w:rPr>
        <w:lastRenderedPageBreak/>
        <w:t>RESULTS</w:t>
      </w:r>
    </w:p>
    <w:p w14:paraId="72F63124" w14:textId="77777777" w:rsidR="00904932" w:rsidRPr="00904932" w:rsidRDefault="00904932" w:rsidP="00904932">
      <w:pPr>
        <w:pStyle w:val="NormalWeb"/>
        <w:snapToGrid w:val="0"/>
        <w:spacing w:before="120" w:beforeAutospacing="0" w:after="120" w:afterAutospacing="0"/>
        <w:rPr>
          <w:rFonts w:ascii="Arial" w:hAnsi="Arial" w:cs="Arial"/>
          <w:b/>
          <w:bCs/>
          <w:sz w:val="20"/>
          <w:szCs w:val="20"/>
        </w:rPr>
      </w:pPr>
      <w:r w:rsidRPr="00904932">
        <w:rPr>
          <w:rFonts w:ascii="Arial" w:hAnsi="Arial" w:cs="Arial"/>
          <w:b/>
          <w:bCs/>
          <w:sz w:val="20"/>
          <w:szCs w:val="20"/>
        </w:rPr>
        <w:t xml:space="preserve">Demographic characteristics </w:t>
      </w:r>
    </w:p>
    <w:p w14:paraId="0F97979A" w14:textId="5515C409" w:rsidR="00904932" w:rsidRDefault="00904932" w:rsidP="00F12F46">
      <w:pPr>
        <w:snapToGrid w:val="0"/>
        <w:spacing w:after="240" w:line="334" w:lineRule="auto"/>
        <w:ind w:firstLine="425"/>
        <w:jc w:val="both"/>
        <w:rPr>
          <w:rFonts w:ascii="Arial" w:hAnsi="Arial" w:cs="Arial"/>
          <w:sz w:val="20"/>
          <w:szCs w:val="20"/>
        </w:rPr>
        <w:sectPr w:rsidR="00904932" w:rsidSect="00F105D1">
          <w:type w:val="continuous"/>
          <w:pgSz w:w="11906" w:h="16838" w:code="9"/>
          <w:pgMar w:top="1418" w:right="907" w:bottom="868" w:left="964" w:header="709" w:footer="709" w:gutter="0"/>
          <w:cols w:num="2" w:space="708"/>
          <w:titlePg/>
          <w:docGrid w:linePitch="360"/>
        </w:sectPr>
      </w:pPr>
      <w:r w:rsidRPr="00904932">
        <w:rPr>
          <w:rFonts w:ascii="Arial" w:hAnsi="Arial" w:cs="Arial"/>
          <w:sz w:val="20"/>
          <w:szCs w:val="20"/>
        </w:rPr>
        <w:t xml:space="preserve">In total, 272 participants were surveyed to obtain a minimum sample of 137 participants. However, only 261 subjects agreed to participate in the study by completing the given online form and meeting the inclusion and exclusion criteria. Of the total 261 participants, the mean age was 29.88 ± 10.86 years </w:t>
      </w:r>
      <w:r w:rsidR="005D1333">
        <w:rPr>
          <w:rFonts w:ascii="Arial" w:hAnsi="Arial" w:cs="Arial"/>
          <w:sz w:val="20"/>
          <w:szCs w:val="20"/>
        </w:rPr>
        <w:t xml:space="preserve"> </w:t>
      </w:r>
      <w:r w:rsidR="005D1333" w:rsidRPr="00904932">
        <w:rPr>
          <w:rFonts w:ascii="Arial" w:hAnsi="Arial" w:cs="Arial"/>
          <w:sz w:val="20"/>
          <w:szCs w:val="20"/>
        </w:rPr>
        <w:t xml:space="preserve">(mean ± standard deviation (SD)). The participants consisted of 148 (57%) females and 113 males (43%). </w:t>
      </w:r>
      <w:r w:rsidR="00F12F46" w:rsidRPr="00904932">
        <w:rPr>
          <w:rFonts w:ascii="Arial" w:hAnsi="Arial" w:cs="Arial"/>
          <w:sz w:val="20"/>
          <w:szCs w:val="20"/>
        </w:rPr>
        <w:t xml:space="preserve">The average body mass index (BMI) was 2.29 ± 0.86 with the highest BMI category of </w:t>
      </w:r>
      <w:r w:rsidR="00F12F46" w:rsidRPr="00904932">
        <w:rPr>
          <w:rFonts w:ascii="Arial" w:hAnsi="Arial" w:cs="Arial"/>
          <w:color w:val="000000"/>
          <w:sz w:val="20"/>
          <w:szCs w:val="20"/>
        </w:rPr>
        <w:t>Underweight  - Normal (&lt;18,5 - 24,9)</w:t>
      </w:r>
      <w:r w:rsidR="00F12F46" w:rsidRPr="00904932">
        <w:rPr>
          <w:rFonts w:ascii="Arial" w:hAnsi="Arial" w:cs="Arial"/>
          <w:sz w:val="20"/>
          <w:szCs w:val="20"/>
        </w:rPr>
        <w:t xml:space="preserve"> with a total of 187 participants </w:t>
      </w:r>
      <w:r>
        <w:rPr>
          <w:rFonts w:ascii="Arial" w:hAnsi="Arial" w:cs="Arial"/>
          <w:sz w:val="20"/>
          <w:szCs w:val="20"/>
        </w:rPr>
        <w:br w:type="column"/>
      </w:r>
      <w:r w:rsidR="00F12F46">
        <w:rPr>
          <w:rFonts w:ascii="Arial" w:hAnsi="Arial" w:cs="Arial"/>
          <w:sz w:val="20"/>
          <w:szCs w:val="20"/>
        </w:rPr>
        <w:t>(</w:t>
      </w:r>
      <w:r w:rsidR="00F12F46" w:rsidRPr="00904932">
        <w:rPr>
          <w:rFonts w:ascii="Arial" w:hAnsi="Arial" w:cs="Arial"/>
          <w:sz w:val="20"/>
          <w:szCs w:val="20"/>
        </w:rPr>
        <w:t xml:space="preserve">72%). Two groups were formed from the participants. The first group had 149 people (57%) who received </w:t>
      </w:r>
      <w:r w:rsidRPr="00904932">
        <w:rPr>
          <w:rFonts w:ascii="Arial" w:hAnsi="Arial" w:cs="Arial"/>
          <w:sz w:val="20"/>
          <w:szCs w:val="20"/>
        </w:rPr>
        <w:t xml:space="preserve">the Pfizer (BNT162b2) vaccination, while the second group had 112 individuals (43%) who received the Sinovac vaccine. Only 31 participants (12%) had comorbidities and 54 participants (21%) took medication in the last 6 months. A total of 13 participants (5%) experienced a hospitalization within the past three months. Meanwhile, participants who had a history of allergies and Covid-19 were 31 participants (12%) and 81 participants (31%) respectively. </w:t>
      </w:r>
      <w:r w:rsidRPr="00904932">
        <w:rPr>
          <w:rFonts w:ascii="Arial" w:hAnsi="Arial" w:cs="Arial"/>
          <w:b/>
          <w:bCs/>
          <w:sz w:val="20"/>
          <w:szCs w:val="20"/>
        </w:rPr>
        <w:t>Table 1</w:t>
      </w:r>
      <w:r w:rsidRPr="00904932">
        <w:rPr>
          <w:rFonts w:ascii="Arial" w:hAnsi="Arial" w:cs="Arial"/>
          <w:sz w:val="20"/>
          <w:szCs w:val="20"/>
        </w:rPr>
        <w:t xml:space="preserve"> describes the specific participant characteristics in detail.</w:t>
      </w:r>
    </w:p>
    <w:p w14:paraId="09D27833" w14:textId="77777777" w:rsidR="005D1333" w:rsidRDefault="005D1333" w:rsidP="00904932">
      <w:pPr>
        <w:contextualSpacing/>
        <w:jc w:val="both"/>
        <w:rPr>
          <w:rFonts w:ascii="Arial" w:hAnsi="Arial" w:cs="Arial"/>
          <w:b/>
          <w:bCs/>
          <w:sz w:val="16"/>
          <w:szCs w:val="16"/>
        </w:rPr>
      </w:pPr>
    </w:p>
    <w:p w14:paraId="4C57611C" w14:textId="4E400A28" w:rsidR="00904932" w:rsidRPr="00904932" w:rsidRDefault="00904932" w:rsidP="00904932">
      <w:pPr>
        <w:contextualSpacing/>
        <w:jc w:val="both"/>
        <w:rPr>
          <w:rFonts w:ascii="Arial" w:hAnsi="Arial" w:cs="Arial"/>
          <w:sz w:val="16"/>
          <w:szCs w:val="16"/>
        </w:rPr>
      </w:pPr>
      <w:r w:rsidRPr="00904932">
        <w:rPr>
          <w:rFonts w:ascii="Arial" w:hAnsi="Arial" w:cs="Arial"/>
          <w:b/>
          <w:bCs/>
          <w:sz w:val="16"/>
          <w:szCs w:val="16"/>
        </w:rPr>
        <w:t xml:space="preserve">Table 1. </w:t>
      </w:r>
      <w:r w:rsidRPr="00904932">
        <w:rPr>
          <w:rFonts w:ascii="Arial" w:hAnsi="Arial" w:cs="Arial"/>
          <w:sz w:val="16"/>
          <w:szCs w:val="16"/>
        </w:rPr>
        <w:t xml:space="preserve">Characteristics of the Participants </w:t>
      </w:r>
    </w:p>
    <w:tbl>
      <w:tblPr>
        <w:tblW w:w="9923" w:type="dxa"/>
        <w:tblBorders>
          <w:top w:val="single" w:sz="4" w:space="0" w:color="auto"/>
          <w:bottom w:val="single" w:sz="4" w:space="0" w:color="auto"/>
        </w:tblBorders>
        <w:tblLayout w:type="fixed"/>
        <w:tblLook w:val="04A0" w:firstRow="1" w:lastRow="0" w:firstColumn="1" w:lastColumn="0" w:noHBand="0" w:noVBand="1"/>
      </w:tblPr>
      <w:tblGrid>
        <w:gridCol w:w="3124"/>
        <w:gridCol w:w="3717"/>
        <w:gridCol w:w="1239"/>
        <w:gridCol w:w="1843"/>
      </w:tblGrid>
      <w:tr w:rsidR="00904932" w:rsidRPr="00904932" w14:paraId="5BD4F868" w14:textId="77777777" w:rsidTr="00904932">
        <w:trPr>
          <w:trHeight w:val="265"/>
        </w:trPr>
        <w:tc>
          <w:tcPr>
            <w:tcW w:w="3124" w:type="dxa"/>
            <w:tcBorders>
              <w:top w:val="single" w:sz="4" w:space="0" w:color="auto"/>
              <w:bottom w:val="single" w:sz="4" w:space="0" w:color="auto"/>
            </w:tcBorders>
            <w:shd w:val="clear" w:color="auto" w:fill="auto"/>
            <w:noWrap/>
            <w:vAlign w:val="center"/>
            <w:hideMark/>
          </w:tcPr>
          <w:p w14:paraId="42C1C6B3" w14:textId="77777777" w:rsidR="00904932" w:rsidRPr="00904932" w:rsidRDefault="00904932" w:rsidP="00904932">
            <w:pPr>
              <w:spacing w:line="334" w:lineRule="auto"/>
              <w:contextualSpacing/>
              <w:jc w:val="center"/>
              <w:rPr>
                <w:rFonts w:ascii="Arial" w:hAnsi="Arial" w:cs="Arial"/>
                <w:b/>
                <w:bCs/>
                <w:color w:val="000000"/>
                <w:sz w:val="16"/>
                <w:szCs w:val="16"/>
              </w:rPr>
            </w:pPr>
            <w:r w:rsidRPr="00904932">
              <w:rPr>
                <w:rFonts w:ascii="Arial" w:hAnsi="Arial" w:cs="Arial"/>
                <w:b/>
                <w:bCs/>
                <w:color w:val="000000"/>
                <w:sz w:val="16"/>
                <w:szCs w:val="16"/>
              </w:rPr>
              <w:t>Variable</w:t>
            </w:r>
          </w:p>
        </w:tc>
        <w:tc>
          <w:tcPr>
            <w:tcW w:w="3717" w:type="dxa"/>
            <w:tcBorders>
              <w:top w:val="single" w:sz="4" w:space="0" w:color="auto"/>
              <w:bottom w:val="single" w:sz="4" w:space="0" w:color="auto"/>
            </w:tcBorders>
            <w:shd w:val="clear" w:color="auto" w:fill="auto"/>
            <w:noWrap/>
            <w:vAlign w:val="center"/>
            <w:hideMark/>
          </w:tcPr>
          <w:p w14:paraId="1EF09759" w14:textId="77777777" w:rsidR="00904932" w:rsidRPr="00904932" w:rsidRDefault="00904932" w:rsidP="00904932">
            <w:pPr>
              <w:spacing w:line="334" w:lineRule="auto"/>
              <w:contextualSpacing/>
              <w:jc w:val="center"/>
              <w:rPr>
                <w:rFonts w:ascii="Arial" w:hAnsi="Arial" w:cs="Arial"/>
                <w:b/>
                <w:bCs/>
                <w:color w:val="000000"/>
                <w:sz w:val="16"/>
                <w:szCs w:val="16"/>
              </w:rPr>
            </w:pPr>
            <w:r w:rsidRPr="00904932">
              <w:rPr>
                <w:rFonts w:ascii="Arial" w:hAnsi="Arial" w:cs="Arial"/>
                <w:b/>
                <w:bCs/>
                <w:color w:val="000000"/>
                <w:sz w:val="16"/>
                <w:szCs w:val="16"/>
              </w:rPr>
              <w:t>Category</w:t>
            </w:r>
          </w:p>
        </w:tc>
        <w:tc>
          <w:tcPr>
            <w:tcW w:w="1239" w:type="dxa"/>
            <w:tcBorders>
              <w:top w:val="single" w:sz="4" w:space="0" w:color="auto"/>
              <w:bottom w:val="single" w:sz="4" w:space="0" w:color="auto"/>
            </w:tcBorders>
            <w:shd w:val="clear" w:color="auto" w:fill="auto"/>
            <w:noWrap/>
            <w:vAlign w:val="center"/>
            <w:hideMark/>
          </w:tcPr>
          <w:p w14:paraId="0EEAEE67" w14:textId="77777777" w:rsidR="00904932" w:rsidRPr="00904932" w:rsidRDefault="00904932" w:rsidP="00904932">
            <w:pPr>
              <w:spacing w:line="334" w:lineRule="auto"/>
              <w:contextualSpacing/>
              <w:jc w:val="center"/>
              <w:rPr>
                <w:rFonts w:ascii="Arial" w:hAnsi="Arial" w:cs="Arial"/>
                <w:b/>
                <w:bCs/>
                <w:color w:val="000000"/>
                <w:sz w:val="16"/>
                <w:szCs w:val="16"/>
              </w:rPr>
            </w:pPr>
            <w:r w:rsidRPr="00904932">
              <w:rPr>
                <w:rFonts w:ascii="Arial" w:hAnsi="Arial" w:cs="Arial"/>
                <w:b/>
                <w:bCs/>
                <w:color w:val="000000"/>
                <w:sz w:val="16"/>
                <w:szCs w:val="16"/>
              </w:rPr>
              <w:t>Frequency</w:t>
            </w:r>
          </w:p>
        </w:tc>
        <w:tc>
          <w:tcPr>
            <w:tcW w:w="1843" w:type="dxa"/>
            <w:tcBorders>
              <w:top w:val="single" w:sz="4" w:space="0" w:color="auto"/>
              <w:bottom w:val="single" w:sz="4" w:space="0" w:color="auto"/>
            </w:tcBorders>
            <w:shd w:val="clear" w:color="auto" w:fill="auto"/>
            <w:noWrap/>
            <w:vAlign w:val="center"/>
            <w:hideMark/>
          </w:tcPr>
          <w:p w14:paraId="65C89A51" w14:textId="77777777" w:rsidR="00904932" w:rsidRPr="00904932" w:rsidRDefault="00904932" w:rsidP="00904932">
            <w:pPr>
              <w:spacing w:line="334" w:lineRule="auto"/>
              <w:contextualSpacing/>
              <w:jc w:val="center"/>
              <w:rPr>
                <w:rFonts w:ascii="Arial" w:hAnsi="Arial" w:cs="Arial"/>
                <w:b/>
                <w:bCs/>
                <w:color w:val="000000"/>
                <w:sz w:val="16"/>
                <w:szCs w:val="16"/>
              </w:rPr>
            </w:pPr>
            <w:r w:rsidRPr="00904932">
              <w:rPr>
                <w:rFonts w:ascii="Arial" w:hAnsi="Arial" w:cs="Arial"/>
                <w:b/>
                <w:bCs/>
                <w:color w:val="000000"/>
                <w:sz w:val="16"/>
                <w:szCs w:val="16"/>
              </w:rPr>
              <w:t xml:space="preserve">Percentage </w:t>
            </w:r>
          </w:p>
        </w:tc>
      </w:tr>
      <w:tr w:rsidR="00904932" w:rsidRPr="00904932" w14:paraId="5896A43B" w14:textId="77777777" w:rsidTr="00904932">
        <w:trPr>
          <w:trHeight w:val="250"/>
        </w:trPr>
        <w:tc>
          <w:tcPr>
            <w:tcW w:w="3124" w:type="dxa"/>
            <w:tcBorders>
              <w:top w:val="single" w:sz="4" w:space="0" w:color="auto"/>
            </w:tcBorders>
            <w:shd w:val="clear" w:color="auto" w:fill="auto"/>
            <w:noWrap/>
            <w:vAlign w:val="center"/>
            <w:hideMark/>
          </w:tcPr>
          <w:p w14:paraId="144A859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Age</w:t>
            </w:r>
          </w:p>
        </w:tc>
        <w:tc>
          <w:tcPr>
            <w:tcW w:w="3717" w:type="dxa"/>
            <w:tcBorders>
              <w:top w:val="single" w:sz="4" w:space="0" w:color="auto"/>
            </w:tcBorders>
            <w:shd w:val="clear" w:color="auto" w:fill="auto"/>
            <w:noWrap/>
            <w:vAlign w:val="center"/>
            <w:hideMark/>
          </w:tcPr>
          <w:p w14:paraId="09F413EE" w14:textId="77777777" w:rsidR="00904932" w:rsidRPr="00904932" w:rsidRDefault="00904932" w:rsidP="00904932">
            <w:pPr>
              <w:spacing w:line="334" w:lineRule="auto"/>
              <w:contextualSpacing/>
              <w:rPr>
                <w:rFonts w:ascii="Arial" w:hAnsi="Arial" w:cs="Arial"/>
                <w:b/>
                <w:bCs/>
                <w:color w:val="000000"/>
                <w:sz w:val="16"/>
                <w:szCs w:val="16"/>
              </w:rPr>
            </w:pPr>
            <w:r w:rsidRPr="00904932">
              <w:rPr>
                <w:rFonts w:ascii="Arial" w:hAnsi="Arial" w:cs="Arial"/>
                <w:b/>
                <w:bCs/>
                <w:color w:val="000000"/>
                <w:sz w:val="16"/>
                <w:szCs w:val="16"/>
              </w:rPr>
              <w:t xml:space="preserve">Mean </w:t>
            </w:r>
            <m:oMath>
              <m:r>
                <m:rPr>
                  <m:sty m:val="bi"/>
                </m:rPr>
                <w:rPr>
                  <w:rFonts w:ascii="Cambria Math" w:hAnsi="Cambria Math" w:cs="Arial"/>
                  <w:color w:val="000000"/>
                  <w:sz w:val="16"/>
                  <w:szCs w:val="16"/>
                </w:rPr>
                <m:t>±</m:t>
              </m:r>
            </m:oMath>
            <w:r w:rsidRPr="00904932">
              <w:rPr>
                <w:rFonts w:ascii="Arial" w:hAnsi="Arial" w:cs="Arial"/>
                <w:b/>
                <w:bCs/>
                <w:color w:val="000000"/>
                <w:sz w:val="16"/>
                <w:szCs w:val="16"/>
              </w:rPr>
              <w:t xml:space="preserve"> SD</w:t>
            </w:r>
          </w:p>
        </w:tc>
        <w:tc>
          <w:tcPr>
            <w:tcW w:w="3082" w:type="dxa"/>
            <w:gridSpan w:val="2"/>
            <w:tcBorders>
              <w:top w:val="single" w:sz="4" w:space="0" w:color="auto"/>
            </w:tcBorders>
            <w:shd w:val="clear" w:color="auto" w:fill="auto"/>
            <w:noWrap/>
            <w:vAlign w:val="center"/>
            <w:hideMark/>
          </w:tcPr>
          <w:p w14:paraId="73AD40A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 xml:space="preserve">29.88 </w:t>
            </w:r>
            <m:oMath>
              <m:r>
                <w:rPr>
                  <w:rFonts w:ascii="Cambria Math" w:hAnsi="Cambria Math" w:cs="Arial"/>
                  <w:color w:val="000000"/>
                  <w:sz w:val="16"/>
                  <w:szCs w:val="16"/>
                </w:rPr>
                <m:t>±</m:t>
              </m:r>
            </m:oMath>
            <w:r w:rsidRPr="00904932">
              <w:rPr>
                <w:rFonts w:ascii="Arial" w:hAnsi="Arial" w:cs="Arial"/>
                <w:color w:val="000000"/>
                <w:sz w:val="16"/>
                <w:szCs w:val="16"/>
              </w:rPr>
              <w:t xml:space="preserve"> 10.86 </w:t>
            </w:r>
          </w:p>
        </w:tc>
      </w:tr>
      <w:tr w:rsidR="00904932" w:rsidRPr="00904932" w14:paraId="6F73D23F" w14:textId="77777777" w:rsidTr="00904932">
        <w:trPr>
          <w:trHeight w:val="250"/>
        </w:trPr>
        <w:tc>
          <w:tcPr>
            <w:tcW w:w="3124" w:type="dxa"/>
            <w:shd w:val="clear" w:color="auto" w:fill="auto"/>
            <w:noWrap/>
            <w:vAlign w:val="center"/>
            <w:hideMark/>
          </w:tcPr>
          <w:p w14:paraId="2627499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4C40189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Adolescence aged ≤25 years</w:t>
            </w:r>
          </w:p>
        </w:tc>
        <w:tc>
          <w:tcPr>
            <w:tcW w:w="1239" w:type="dxa"/>
            <w:shd w:val="clear" w:color="auto" w:fill="auto"/>
            <w:noWrap/>
            <w:vAlign w:val="bottom"/>
            <w:hideMark/>
          </w:tcPr>
          <w:p w14:paraId="51FC9C7E"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116</w:t>
            </w:r>
          </w:p>
        </w:tc>
        <w:tc>
          <w:tcPr>
            <w:tcW w:w="1843" w:type="dxa"/>
            <w:shd w:val="clear" w:color="auto" w:fill="auto"/>
            <w:noWrap/>
            <w:vAlign w:val="bottom"/>
            <w:hideMark/>
          </w:tcPr>
          <w:p w14:paraId="630C71BA" w14:textId="77777777" w:rsidR="00904932" w:rsidRPr="00904932" w:rsidRDefault="00904932" w:rsidP="00904932">
            <w:pPr>
              <w:spacing w:line="334" w:lineRule="auto"/>
              <w:contextualSpacing/>
              <w:jc w:val="center"/>
              <w:rPr>
                <w:rFonts w:ascii="Arial" w:hAnsi="Arial" w:cs="Arial"/>
                <w:color w:val="010205"/>
                <w:sz w:val="16"/>
                <w:szCs w:val="16"/>
              </w:rPr>
            </w:pPr>
            <w:r w:rsidRPr="00904932">
              <w:rPr>
                <w:rFonts w:ascii="Arial" w:hAnsi="Arial" w:cs="Arial"/>
                <w:color w:val="010205"/>
                <w:sz w:val="16"/>
                <w:szCs w:val="16"/>
              </w:rPr>
              <w:t>44%</w:t>
            </w:r>
          </w:p>
        </w:tc>
      </w:tr>
      <w:tr w:rsidR="00904932" w:rsidRPr="00904932" w14:paraId="44C0CB3F" w14:textId="77777777" w:rsidTr="00904932">
        <w:trPr>
          <w:trHeight w:val="250"/>
        </w:trPr>
        <w:tc>
          <w:tcPr>
            <w:tcW w:w="3124" w:type="dxa"/>
            <w:shd w:val="clear" w:color="auto" w:fill="auto"/>
            <w:noWrap/>
            <w:vAlign w:val="center"/>
            <w:hideMark/>
          </w:tcPr>
          <w:p w14:paraId="4955A762"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6033509"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Adulthood aged 26-45 years </w:t>
            </w:r>
          </w:p>
        </w:tc>
        <w:tc>
          <w:tcPr>
            <w:tcW w:w="1239" w:type="dxa"/>
            <w:shd w:val="clear" w:color="auto" w:fill="auto"/>
            <w:noWrap/>
            <w:vAlign w:val="bottom"/>
            <w:hideMark/>
          </w:tcPr>
          <w:p w14:paraId="7416A3AF"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109</w:t>
            </w:r>
          </w:p>
        </w:tc>
        <w:tc>
          <w:tcPr>
            <w:tcW w:w="1843" w:type="dxa"/>
            <w:shd w:val="clear" w:color="auto" w:fill="auto"/>
            <w:noWrap/>
            <w:vAlign w:val="bottom"/>
            <w:hideMark/>
          </w:tcPr>
          <w:p w14:paraId="239275E0" w14:textId="77777777" w:rsidR="00904932" w:rsidRPr="00904932" w:rsidRDefault="00904932" w:rsidP="00904932">
            <w:pPr>
              <w:spacing w:line="334" w:lineRule="auto"/>
              <w:contextualSpacing/>
              <w:jc w:val="center"/>
              <w:rPr>
                <w:rFonts w:ascii="Arial" w:hAnsi="Arial" w:cs="Arial"/>
                <w:color w:val="010205"/>
                <w:sz w:val="16"/>
                <w:szCs w:val="16"/>
              </w:rPr>
            </w:pPr>
            <w:r w:rsidRPr="00904932">
              <w:rPr>
                <w:rFonts w:ascii="Arial" w:hAnsi="Arial" w:cs="Arial"/>
                <w:color w:val="010205"/>
                <w:sz w:val="16"/>
                <w:szCs w:val="16"/>
              </w:rPr>
              <w:t>42%</w:t>
            </w:r>
          </w:p>
        </w:tc>
      </w:tr>
      <w:tr w:rsidR="00904932" w:rsidRPr="00904932" w14:paraId="460E0917" w14:textId="77777777" w:rsidTr="00904932">
        <w:trPr>
          <w:trHeight w:val="250"/>
        </w:trPr>
        <w:tc>
          <w:tcPr>
            <w:tcW w:w="3124" w:type="dxa"/>
            <w:shd w:val="clear" w:color="auto" w:fill="auto"/>
            <w:noWrap/>
            <w:vAlign w:val="center"/>
            <w:hideMark/>
          </w:tcPr>
          <w:p w14:paraId="3342048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6B59F2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Elderly aged &lt;45 years</w:t>
            </w:r>
          </w:p>
        </w:tc>
        <w:tc>
          <w:tcPr>
            <w:tcW w:w="1239" w:type="dxa"/>
            <w:shd w:val="clear" w:color="auto" w:fill="auto"/>
            <w:noWrap/>
            <w:vAlign w:val="bottom"/>
            <w:hideMark/>
          </w:tcPr>
          <w:p w14:paraId="00A7F776"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36</w:t>
            </w:r>
          </w:p>
        </w:tc>
        <w:tc>
          <w:tcPr>
            <w:tcW w:w="1843" w:type="dxa"/>
            <w:shd w:val="clear" w:color="auto" w:fill="auto"/>
            <w:noWrap/>
            <w:vAlign w:val="bottom"/>
            <w:hideMark/>
          </w:tcPr>
          <w:p w14:paraId="46CD1E3E" w14:textId="77777777" w:rsidR="00904932" w:rsidRPr="00904932" w:rsidRDefault="00904932" w:rsidP="00904932">
            <w:pPr>
              <w:spacing w:line="334" w:lineRule="auto"/>
              <w:contextualSpacing/>
              <w:jc w:val="center"/>
              <w:rPr>
                <w:rFonts w:ascii="Arial" w:hAnsi="Arial" w:cs="Arial"/>
                <w:color w:val="010205"/>
                <w:sz w:val="16"/>
                <w:szCs w:val="16"/>
              </w:rPr>
            </w:pPr>
            <w:r w:rsidRPr="00904932">
              <w:rPr>
                <w:rFonts w:ascii="Arial" w:hAnsi="Arial" w:cs="Arial"/>
                <w:color w:val="010205"/>
                <w:sz w:val="16"/>
                <w:szCs w:val="16"/>
              </w:rPr>
              <w:t>14%</w:t>
            </w:r>
          </w:p>
        </w:tc>
      </w:tr>
      <w:tr w:rsidR="00904932" w:rsidRPr="00904932" w14:paraId="57841F26" w14:textId="77777777" w:rsidTr="00904932">
        <w:trPr>
          <w:trHeight w:val="250"/>
        </w:trPr>
        <w:tc>
          <w:tcPr>
            <w:tcW w:w="3124" w:type="dxa"/>
            <w:shd w:val="clear" w:color="auto" w:fill="auto"/>
            <w:noWrap/>
            <w:vAlign w:val="center"/>
            <w:hideMark/>
          </w:tcPr>
          <w:p w14:paraId="237F911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Gender</w:t>
            </w:r>
          </w:p>
        </w:tc>
        <w:tc>
          <w:tcPr>
            <w:tcW w:w="3717" w:type="dxa"/>
            <w:shd w:val="clear" w:color="auto" w:fill="auto"/>
            <w:noWrap/>
            <w:vAlign w:val="center"/>
            <w:hideMark/>
          </w:tcPr>
          <w:p w14:paraId="6FEF1CF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Female</w:t>
            </w:r>
          </w:p>
        </w:tc>
        <w:tc>
          <w:tcPr>
            <w:tcW w:w="1239" w:type="dxa"/>
            <w:shd w:val="clear" w:color="auto" w:fill="auto"/>
            <w:noWrap/>
            <w:vAlign w:val="center"/>
            <w:hideMark/>
          </w:tcPr>
          <w:p w14:paraId="43370D3E"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148</w:t>
            </w:r>
          </w:p>
        </w:tc>
        <w:tc>
          <w:tcPr>
            <w:tcW w:w="1843" w:type="dxa"/>
            <w:shd w:val="clear" w:color="auto" w:fill="auto"/>
            <w:noWrap/>
            <w:vAlign w:val="center"/>
            <w:hideMark/>
          </w:tcPr>
          <w:p w14:paraId="3203D16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57%</w:t>
            </w:r>
          </w:p>
        </w:tc>
      </w:tr>
      <w:tr w:rsidR="00904932" w:rsidRPr="00904932" w14:paraId="65DA95FC" w14:textId="77777777" w:rsidTr="00904932">
        <w:trPr>
          <w:trHeight w:val="250"/>
        </w:trPr>
        <w:tc>
          <w:tcPr>
            <w:tcW w:w="3124" w:type="dxa"/>
            <w:shd w:val="clear" w:color="auto" w:fill="auto"/>
            <w:noWrap/>
            <w:vAlign w:val="center"/>
            <w:hideMark/>
          </w:tcPr>
          <w:p w14:paraId="02ABD56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152615F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Male </w:t>
            </w:r>
          </w:p>
        </w:tc>
        <w:tc>
          <w:tcPr>
            <w:tcW w:w="1239" w:type="dxa"/>
            <w:shd w:val="clear" w:color="auto" w:fill="auto"/>
            <w:noWrap/>
            <w:vAlign w:val="center"/>
            <w:hideMark/>
          </w:tcPr>
          <w:p w14:paraId="7125D795"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113</w:t>
            </w:r>
          </w:p>
        </w:tc>
        <w:tc>
          <w:tcPr>
            <w:tcW w:w="1843" w:type="dxa"/>
            <w:shd w:val="clear" w:color="auto" w:fill="auto"/>
            <w:noWrap/>
            <w:vAlign w:val="center"/>
            <w:hideMark/>
          </w:tcPr>
          <w:p w14:paraId="53CC7613"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4EBBCFA5" w14:textId="77777777" w:rsidTr="00904932">
        <w:trPr>
          <w:trHeight w:val="250"/>
        </w:trPr>
        <w:tc>
          <w:tcPr>
            <w:tcW w:w="3124" w:type="dxa"/>
            <w:shd w:val="clear" w:color="auto" w:fill="auto"/>
            <w:noWrap/>
            <w:vAlign w:val="center"/>
            <w:hideMark/>
          </w:tcPr>
          <w:p w14:paraId="0DB8D1A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Body Mass Index (BMI)</w:t>
            </w:r>
          </w:p>
        </w:tc>
        <w:tc>
          <w:tcPr>
            <w:tcW w:w="3717" w:type="dxa"/>
            <w:shd w:val="clear" w:color="auto" w:fill="auto"/>
            <w:noWrap/>
            <w:vAlign w:val="center"/>
            <w:hideMark/>
          </w:tcPr>
          <w:p w14:paraId="064F6C67" w14:textId="77777777" w:rsidR="00904932" w:rsidRPr="00904932" w:rsidRDefault="00904932" w:rsidP="00904932">
            <w:pPr>
              <w:spacing w:line="334" w:lineRule="auto"/>
              <w:contextualSpacing/>
              <w:rPr>
                <w:rFonts w:ascii="Arial" w:hAnsi="Arial" w:cs="Arial"/>
                <w:b/>
                <w:bCs/>
                <w:color w:val="000000"/>
                <w:sz w:val="16"/>
                <w:szCs w:val="16"/>
              </w:rPr>
            </w:pPr>
            <w:r w:rsidRPr="00904932">
              <w:rPr>
                <w:rFonts w:ascii="Arial" w:hAnsi="Arial" w:cs="Arial"/>
                <w:b/>
                <w:bCs/>
                <w:color w:val="000000"/>
                <w:sz w:val="16"/>
                <w:szCs w:val="16"/>
              </w:rPr>
              <w:t xml:space="preserve">Mean </w:t>
            </w:r>
            <m:oMath>
              <m:r>
                <m:rPr>
                  <m:sty m:val="bi"/>
                </m:rPr>
                <w:rPr>
                  <w:rFonts w:ascii="Cambria Math" w:hAnsi="Cambria Math" w:cs="Arial"/>
                  <w:color w:val="000000"/>
                  <w:sz w:val="16"/>
                  <w:szCs w:val="16"/>
                </w:rPr>
                <m:t>±</m:t>
              </m:r>
            </m:oMath>
            <w:r w:rsidRPr="00904932">
              <w:rPr>
                <w:rFonts w:ascii="Arial" w:hAnsi="Arial" w:cs="Arial"/>
                <w:b/>
                <w:bCs/>
                <w:color w:val="000000"/>
                <w:sz w:val="16"/>
                <w:szCs w:val="16"/>
              </w:rPr>
              <w:t xml:space="preserve"> SD</w:t>
            </w:r>
          </w:p>
        </w:tc>
        <w:tc>
          <w:tcPr>
            <w:tcW w:w="3082" w:type="dxa"/>
            <w:gridSpan w:val="2"/>
            <w:shd w:val="clear" w:color="auto" w:fill="auto"/>
            <w:noWrap/>
            <w:vAlign w:val="bottom"/>
            <w:hideMark/>
          </w:tcPr>
          <w:p w14:paraId="2FFE6D82" w14:textId="77777777" w:rsidR="00904932" w:rsidRPr="00904932" w:rsidRDefault="00904932" w:rsidP="00904932">
            <w:pPr>
              <w:spacing w:line="334" w:lineRule="auto"/>
              <w:ind w:right="179"/>
              <w:contextualSpacing/>
              <w:jc w:val="right"/>
              <w:rPr>
                <w:rFonts w:ascii="Arial" w:hAnsi="Arial" w:cs="Arial"/>
                <w:color w:val="000000"/>
                <w:sz w:val="16"/>
                <w:szCs w:val="16"/>
              </w:rPr>
            </w:pPr>
            <w:r w:rsidRPr="00904932">
              <w:rPr>
                <w:rFonts w:ascii="Arial" w:hAnsi="Arial" w:cs="Arial"/>
                <w:color w:val="000000"/>
                <w:sz w:val="16"/>
                <w:szCs w:val="16"/>
              </w:rPr>
              <w:t xml:space="preserve">2.29 </w:t>
            </w:r>
            <m:oMath>
              <m:r>
                <w:rPr>
                  <w:rFonts w:ascii="Cambria Math" w:hAnsi="Cambria Math" w:cs="Arial"/>
                  <w:color w:val="000000"/>
                  <w:sz w:val="16"/>
                  <w:szCs w:val="16"/>
                </w:rPr>
                <m:t>±</m:t>
              </m:r>
            </m:oMath>
            <w:r w:rsidRPr="00904932">
              <w:rPr>
                <w:rFonts w:ascii="Arial" w:hAnsi="Arial" w:cs="Arial"/>
                <w:color w:val="000000"/>
                <w:sz w:val="16"/>
                <w:szCs w:val="16"/>
              </w:rPr>
              <w:t xml:space="preserve"> 0.86 </w:t>
            </w:r>
          </w:p>
        </w:tc>
      </w:tr>
      <w:tr w:rsidR="00904932" w:rsidRPr="00904932" w14:paraId="12917A8C" w14:textId="77777777" w:rsidTr="00904932">
        <w:trPr>
          <w:trHeight w:val="250"/>
        </w:trPr>
        <w:tc>
          <w:tcPr>
            <w:tcW w:w="3124" w:type="dxa"/>
            <w:shd w:val="clear" w:color="auto" w:fill="auto"/>
            <w:noWrap/>
            <w:vAlign w:val="center"/>
            <w:hideMark/>
          </w:tcPr>
          <w:p w14:paraId="1619C85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628159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Underweight  - Normal (&lt;18,5 - 24,9)</w:t>
            </w:r>
          </w:p>
        </w:tc>
        <w:tc>
          <w:tcPr>
            <w:tcW w:w="1239" w:type="dxa"/>
            <w:shd w:val="clear" w:color="auto" w:fill="auto"/>
            <w:noWrap/>
            <w:vAlign w:val="bottom"/>
            <w:hideMark/>
          </w:tcPr>
          <w:p w14:paraId="7AD1F79B"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187</w:t>
            </w:r>
          </w:p>
        </w:tc>
        <w:tc>
          <w:tcPr>
            <w:tcW w:w="1843" w:type="dxa"/>
            <w:shd w:val="clear" w:color="auto" w:fill="auto"/>
            <w:noWrap/>
            <w:vAlign w:val="bottom"/>
            <w:hideMark/>
          </w:tcPr>
          <w:p w14:paraId="6414F1EA"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72%</w:t>
            </w:r>
          </w:p>
        </w:tc>
      </w:tr>
      <w:tr w:rsidR="00904932" w:rsidRPr="00904932" w14:paraId="0D33F74C" w14:textId="77777777" w:rsidTr="00904932">
        <w:trPr>
          <w:trHeight w:val="250"/>
        </w:trPr>
        <w:tc>
          <w:tcPr>
            <w:tcW w:w="3124" w:type="dxa"/>
            <w:shd w:val="clear" w:color="auto" w:fill="auto"/>
            <w:noWrap/>
            <w:vAlign w:val="center"/>
            <w:hideMark/>
          </w:tcPr>
          <w:p w14:paraId="72170CD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954BF50"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Overweight  - Obese (25 - ≥ 27)</w:t>
            </w:r>
          </w:p>
        </w:tc>
        <w:tc>
          <w:tcPr>
            <w:tcW w:w="1239" w:type="dxa"/>
            <w:shd w:val="clear" w:color="auto" w:fill="auto"/>
            <w:noWrap/>
            <w:vAlign w:val="bottom"/>
            <w:hideMark/>
          </w:tcPr>
          <w:p w14:paraId="433C6237" w14:textId="77777777" w:rsidR="00904932" w:rsidRPr="00904932" w:rsidRDefault="00904932" w:rsidP="00904932">
            <w:pPr>
              <w:spacing w:line="334" w:lineRule="auto"/>
              <w:contextualSpacing/>
              <w:jc w:val="right"/>
              <w:rPr>
                <w:rFonts w:ascii="Arial" w:hAnsi="Arial" w:cs="Arial"/>
                <w:color w:val="010205"/>
                <w:sz w:val="16"/>
                <w:szCs w:val="16"/>
              </w:rPr>
            </w:pPr>
            <w:r w:rsidRPr="00904932">
              <w:rPr>
                <w:rFonts w:ascii="Arial" w:hAnsi="Arial" w:cs="Arial"/>
                <w:color w:val="010205"/>
                <w:sz w:val="16"/>
                <w:szCs w:val="16"/>
              </w:rPr>
              <w:t>74</w:t>
            </w:r>
          </w:p>
        </w:tc>
        <w:tc>
          <w:tcPr>
            <w:tcW w:w="1843" w:type="dxa"/>
            <w:shd w:val="clear" w:color="auto" w:fill="auto"/>
            <w:noWrap/>
            <w:vAlign w:val="bottom"/>
            <w:hideMark/>
          </w:tcPr>
          <w:p w14:paraId="7E909F15"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28%</w:t>
            </w:r>
          </w:p>
        </w:tc>
      </w:tr>
      <w:tr w:rsidR="00904932" w:rsidRPr="00904932" w14:paraId="20455F24" w14:textId="77777777" w:rsidTr="00904932">
        <w:trPr>
          <w:trHeight w:val="250"/>
        </w:trPr>
        <w:tc>
          <w:tcPr>
            <w:tcW w:w="3124" w:type="dxa"/>
            <w:shd w:val="clear" w:color="auto" w:fill="auto"/>
            <w:noWrap/>
            <w:vAlign w:val="center"/>
            <w:hideMark/>
          </w:tcPr>
          <w:p w14:paraId="1DA2CC1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Vaccine types</w:t>
            </w:r>
          </w:p>
        </w:tc>
        <w:tc>
          <w:tcPr>
            <w:tcW w:w="3717" w:type="dxa"/>
            <w:shd w:val="clear" w:color="auto" w:fill="auto"/>
            <w:noWrap/>
            <w:vAlign w:val="center"/>
            <w:hideMark/>
          </w:tcPr>
          <w:p w14:paraId="097C720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BNT162b2 (</w:t>
            </w:r>
            <w:r w:rsidRPr="00904932">
              <w:rPr>
                <w:rFonts w:ascii="Arial" w:hAnsi="Arial" w:cs="Arial"/>
                <w:i/>
                <w:iCs/>
                <w:color w:val="000000"/>
                <w:sz w:val="16"/>
                <w:szCs w:val="16"/>
              </w:rPr>
              <w:t>Pfizer)</w:t>
            </w:r>
          </w:p>
        </w:tc>
        <w:tc>
          <w:tcPr>
            <w:tcW w:w="1239" w:type="dxa"/>
            <w:shd w:val="clear" w:color="auto" w:fill="auto"/>
            <w:noWrap/>
            <w:vAlign w:val="center"/>
            <w:hideMark/>
          </w:tcPr>
          <w:p w14:paraId="062EA6E6"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149</w:t>
            </w:r>
          </w:p>
        </w:tc>
        <w:tc>
          <w:tcPr>
            <w:tcW w:w="1843" w:type="dxa"/>
            <w:shd w:val="clear" w:color="auto" w:fill="auto"/>
            <w:noWrap/>
            <w:vAlign w:val="center"/>
            <w:hideMark/>
          </w:tcPr>
          <w:p w14:paraId="46C575CF"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57%</w:t>
            </w:r>
          </w:p>
        </w:tc>
      </w:tr>
      <w:tr w:rsidR="00904932" w:rsidRPr="00904932" w14:paraId="1C1E1363" w14:textId="77777777" w:rsidTr="00904932">
        <w:trPr>
          <w:trHeight w:val="250"/>
        </w:trPr>
        <w:tc>
          <w:tcPr>
            <w:tcW w:w="3124" w:type="dxa"/>
            <w:shd w:val="clear" w:color="auto" w:fill="auto"/>
            <w:noWrap/>
            <w:vAlign w:val="center"/>
            <w:hideMark/>
          </w:tcPr>
          <w:p w14:paraId="205FB2D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125D600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w:t>
            </w:r>
          </w:p>
        </w:tc>
        <w:tc>
          <w:tcPr>
            <w:tcW w:w="1239" w:type="dxa"/>
            <w:shd w:val="clear" w:color="auto" w:fill="auto"/>
            <w:noWrap/>
            <w:vAlign w:val="center"/>
            <w:hideMark/>
          </w:tcPr>
          <w:p w14:paraId="233A295D"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112</w:t>
            </w:r>
          </w:p>
        </w:tc>
        <w:tc>
          <w:tcPr>
            <w:tcW w:w="1843" w:type="dxa"/>
            <w:shd w:val="clear" w:color="auto" w:fill="auto"/>
            <w:noWrap/>
            <w:vAlign w:val="center"/>
            <w:hideMark/>
          </w:tcPr>
          <w:p w14:paraId="0951A47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48C917DE" w14:textId="77777777" w:rsidTr="00904932">
        <w:trPr>
          <w:trHeight w:val="437"/>
        </w:trPr>
        <w:tc>
          <w:tcPr>
            <w:tcW w:w="3124" w:type="dxa"/>
            <w:shd w:val="clear" w:color="auto" w:fill="auto"/>
            <w:noWrap/>
            <w:vAlign w:val="center"/>
            <w:hideMark/>
          </w:tcPr>
          <w:p w14:paraId="48DA875E"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Vaccine variation</w:t>
            </w:r>
          </w:p>
        </w:tc>
        <w:tc>
          <w:tcPr>
            <w:tcW w:w="3717" w:type="dxa"/>
            <w:shd w:val="clear" w:color="auto" w:fill="auto"/>
            <w:noWrap/>
            <w:vAlign w:val="center"/>
            <w:hideMark/>
          </w:tcPr>
          <w:p w14:paraId="02880927"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Pfizer</w:t>
            </w:r>
          </w:p>
        </w:tc>
        <w:tc>
          <w:tcPr>
            <w:tcW w:w="1239" w:type="dxa"/>
            <w:shd w:val="clear" w:color="auto" w:fill="auto"/>
            <w:noWrap/>
            <w:vAlign w:val="center"/>
            <w:hideMark/>
          </w:tcPr>
          <w:p w14:paraId="37D3D524"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8</w:t>
            </w:r>
          </w:p>
        </w:tc>
        <w:tc>
          <w:tcPr>
            <w:tcW w:w="1843" w:type="dxa"/>
            <w:shd w:val="clear" w:color="auto" w:fill="auto"/>
            <w:noWrap/>
            <w:vAlign w:val="center"/>
            <w:hideMark/>
          </w:tcPr>
          <w:p w14:paraId="54A493DB"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w:t>
            </w:r>
          </w:p>
        </w:tc>
      </w:tr>
      <w:tr w:rsidR="00904932" w:rsidRPr="00904932" w14:paraId="7581F99A" w14:textId="77777777" w:rsidTr="00904932">
        <w:trPr>
          <w:trHeight w:val="97"/>
        </w:trPr>
        <w:tc>
          <w:tcPr>
            <w:tcW w:w="3124" w:type="dxa"/>
            <w:shd w:val="clear" w:color="auto" w:fill="auto"/>
            <w:noWrap/>
            <w:vAlign w:val="center"/>
            <w:hideMark/>
          </w:tcPr>
          <w:p w14:paraId="65A57B49"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18777EF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Pfizer + Pfizer</w:t>
            </w:r>
          </w:p>
        </w:tc>
        <w:tc>
          <w:tcPr>
            <w:tcW w:w="1239" w:type="dxa"/>
            <w:shd w:val="clear" w:color="auto" w:fill="auto"/>
            <w:noWrap/>
            <w:vAlign w:val="center"/>
            <w:hideMark/>
          </w:tcPr>
          <w:p w14:paraId="3B4F2665"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w:t>
            </w:r>
          </w:p>
        </w:tc>
        <w:tc>
          <w:tcPr>
            <w:tcW w:w="1843" w:type="dxa"/>
            <w:shd w:val="clear" w:color="auto" w:fill="auto"/>
            <w:noWrap/>
            <w:vAlign w:val="center"/>
            <w:hideMark/>
          </w:tcPr>
          <w:p w14:paraId="6680C7E8"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w:t>
            </w:r>
          </w:p>
        </w:tc>
      </w:tr>
      <w:tr w:rsidR="00904932" w:rsidRPr="00904932" w14:paraId="1E5FAA87" w14:textId="77777777" w:rsidTr="00904932">
        <w:trPr>
          <w:trHeight w:val="437"/>
        </w:trPr>
        <w:tc>
          <w:tcPr>
            <w:tcW w:w="3124" w:type="dxa"/>
            <w:shd w:val="clear" w:color="auto" w:fill="auto"/>
            <w:noWrap/>
            <w:vAlign w:val="center"/>
            <w:hideMark/>
          </w:tcPr>
          <w:p w14:paraId="16517F7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4F94794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w:t>
            </w:r>
          </w:p>
        </w:tc>
        <w:tc>
          <w:tcPr>
            <w:tcW w:w="1239" w:type="dxa"/>
            <w:shd w:val="clear" w:color="auto" w:fill="auto"/>
            <w:noWrap/>
            <w:vAlign w:val="center"/>
            <w:hideMark/>
          </w:tcPr>
          <w:p w14:paraId="0DFEAD8F"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11</w:t>
            </w:r>
          </w:p>
        </w:tc>
        <w:tc>
          <w:tcPr>
            <w:tcW w:w="1843" w:type="dxa"/>
            <w:shd w:val="clear" w:color="auto" w:fill="auto"/>
            <w:noWrap/>
            <w:vAlign w:val="center"/>
            <w:hideMark/>
          </w:tcPr>
          <w:p w14:paraId="7E5502F7"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w:t>
            </w:r>
          </w:p>
        </w:tc>
      </w:tr>
      <w:tr w:rsidR="00904932" w:rsidRPr="00904932" w14:paraId="53769E7F" w14:textId="77777777" w:rsidTr="00904932">
        <w:trPr>
          <w:trHeight w:val="250"/>
        </w:trPr>
        <w:tc>
          <w:tcPr>
            <w:tcW w:w="3124" w:type="dxa"/>
            <w:shd w:val="clear" w:color="auto" w:fill="auto"/>
            <w:noWrap/>
            <w:vAlign w:val="center"/>
            <w:hideMark/>
          </w:tcPr>
          <w:p w14:paraId="571DCCFE"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D4DFED9"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Sinovac</w:t>
            </w:r>
          </w:p>
        </w:tc>
        <w:tc>
          <w:tcPr>
            <w:tcW w:w="1239" w:type="dxa"/>
            <w:shd w:val="clear" w:color="auto" w:fill="auto"/>
            <w:noWrap/>
            <w:vAlign w:val="center"/>
            <w:hideMark/>
          </w:tcPr>
          <w:p w14:paraId="243684C1"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91</w:t>
            </w:r>
          </w:p>
        </w:tc>
        <w:tc>
          <w:tcPr>
            <w:tcW w:w="1843" w:type="dxa"/>
            <w:shd w:val="clear" w:color="auto" w:fill="auto"/>
            <w:noWrap/>
            <w:vAlign w:val="center"/>
            <w:hideMark/>
          </w:tcPr>
          <w:p w14:paraId="5A8FA33F"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35%</w:t>
            </w:r>
          </w:p>
        </w:tc>
      </w:tr>
      <w:tr w:rsidR="00904932" w:rsidRPr="00904932" w14:paraId="29270246" w14:textId="77777777" w:rsidTr="00904932">
        <w:trPr>
          <w:trHeight w:val="250"/>
        </w:trPr>
        <w:tc>
          <w:tcPr>
            <w:tcW w:w="3124" w:type="dxa"/>
            <w:shd w:val="clear" w:color="auto" w:fill="auto"/>
            <w:noWrap/>
            <w:vAlign w:val="center"/>
            <w:hideMark/>
          </w:tcPr>
          <w:p w14:paraId="08AB5C9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310B8FEE"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Pfizer</w:t>
            </w:r>
          </w:p>
        </w:tc>
        <w:tc>
          <w:tcPr>
            <w:tcW w:w="1239" w:type="dxa"/>
            <w:shd w:val="clear" w:color="auto" w:fill="auto"/>
            <w:noWrap/>
            <w:vAlign w:val="center"/>
            <w:hideMark/>
          </w:tcPr>
          <w:p w14:paraId="239D6219"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23</w:t>
            </w:r>
          </w:p>
        </w:tc>
        <w:tc>
          <w:tcPr>
            <w:tcW w:w="1843" w:type="dxa"/>
            <w:shd w:val="clear" w:color="auto" w:fill="auto"/>
            <w:noWrap/>
            <w:vAlign w:val="center"/>
            <w:hideMark/>
          </w:tcPr>
          <w:p w14:paraId="67C91B3E"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9%</w:t>
            </w:r>
          </w:p>
        </w:tc>
      </w:tr>
      <w:tr w:rsidR="00904932" w:rsidRPr="00904932" w14:paraId="5ED7A77C" w14:textId="77777777" w:rsidTr="00904932">
        <w:trPr>
          <w:trHeight w:val="250"/>
        </w:trPr>
        <w:tc>
          <w:tcPr>
            <w:tcW w:w="3124" w:type="dxa"/>
            <w:shd w:val="clear" w:color="auto" w:fill="auto"/>
            <w:noWrap/>
            <w:vAlign w:val="center"/>
            <w:hideMark/>
          </w:tcPr>
          <w:p w14:paraId="588F0EB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3349A2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Pfizer + Pfizer + Pfizer</w:t>
            </w:r>
          </w:p>
        </w:tc>
        <w:tc>
          <w:tcPr>
            <w:tcW w:w="1239" w:type="dxa"/>
            <w:shd w:val="clear" w:color="auto" w:fill="auto"/>
            <w:noWrap/>
            <w:vAlign w:val="center"/>
            <w:hideMark/>
          </w:tcPr>
          <w:p w14:paraId="1409FCC5"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23</w:t>
            </w:r>
          </w:p>
        </w:tc>
        <w:tc>
          <w:tcPr>
            <w:tcW w:w="1843" w:type="dxa"/>
            <w:shd w:val="clear" w:color="auto" w:fill="auto"/>
            <w:noWrap/>
            <w:vAlign w:val="center"/>
            <w:hideMark/>
          </w:tcPr>
          <w:p w14:paraId="5E32D30E"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9%</w:t>
            </w:r>
          </w:p>
        </w:tc>
      </w:tr>
      <w:tr w:rsidR="00904932" w:rsidRPr="00904932" w14:paraId="7C62CF7A" w14:textId="77777777" w:rsidTr="00904932">
        <w:trPr>
          <w:trHeight w:val="250"/>
        </w:trPr>
        <w:tc>
          <w:tcPr>
            <w:tcW w:w="3124" w:type="dxa"/>
            <w:shd w:val="clear" w:color="auto" w:fill="auto"/>
            <w:noWrap/>
            <w:vAlign w:val="center"/>
            <w:hideMark/>
          </w:tcPr>
          <w:p w14:paraId="1241335D"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6A5C3F2A" w14:textId="77777777" w:rsidR="00904932" w:rsidRPr="00904932" w:rsidRDefault="00904932" w:rsidP="00904932">
            <w:pPr>
              <w:spacing w:line="334" w:lineRule="auto"/>
              <w:contextualSpacing/>
              <w:rPr>
                <w:rFonts w:ascii="Arial" w:hAnsi="Arial" w:cs="Arial"/>
                <w:color w:val="000000"/>
                <w:sz w:val="16"/>
                <w:szCs w:val="16"/>
              </w:rPr>
            </w:pPr>
            <w:proofErr w:type="spellStart"/>
            <w:r w:rsidRPr="00904932">
              <w:rPr>
                <w:rFonts w:ascii="Arial" w:hAnsi="Arial" w:cs="Arial"/>
                <w:iCs/>
                <w:color w:val="000000"/>
                <w:sz w:val="16"/>
                <w:szCs w:val="16"/>
              </w:rPr>
              <w:t>Astrazeneca</w:t>
            </w:r>
            <w:proofErr w:type="spellEnd"/>
            <w:r w:rsidRPr="00904932">
              <w:rPr>
                <w:rFonts w:ascii="Arial" w:hAnsi="Arial" w:cs="Arial"/>
                <w:iCs/>
                <w:color w:val="000000"/>
                <w:sz w:val="16"/>
                <w:szCs w:val="16"/>
              </w:rPr>
              <w:t xml:space="preserve"> + </w:t>
            </w:r>
            <w:proofErr w:type="spellStart"/>
            <w:r w:rsidRPr="00904932">
              <w:rPr>
                <w:rFonts w:ascii="Arial" w:hAnsi="Arial" w:cs="Arial"/>
                <w:iCs/>
                <w:color w:val="000000"/>
                <w:sz w:val="16"/>
                <w:szCs w:val="16"/>
              </w:rPr>
              <w:t>Astrazeneca</w:t>
            </w:r>
            <w:proofErr w:type="spellEnd"/>
            <w:r w:rsidRPr="00904932">
              <w:rPr>
                <w:rFonts w:ascii="Arial" w:hAnsi="Arial" w:cs="Arial"/>
                <w:iCs/>
                <w:color w:val="000000"/>
                <w:sz w:val="16"/>
                <w:szCs w:val="16"/>
              </w:rPr>
              <w:t xml:space="preserve"> + Pfizer</w:t>
            </w:r>
          </w:p>
        </w:tc>
        <w:tc>
          <w:tcPr>
            <w:tcW w:w="1239" w:type="dxa"/>
            <w:shd w:val="clear" w:color="auto" w:fill="auto"/>
            <w:noWrap/>
            <w:vAlign w:val="center"/>
            <w:hideMark/>
          </w:tcPr>
          <w:p w14:paraId="6FF019ED"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19</w:t>
            </w:r>
          </w:p>
        </w:tc>
        <w:tc>
          <w:tcPr>
            <w:tcW w:w="1843" w:type="dxa"/>
            <w:shd w:val="clear" w:color="auto" w:fill="auto"/>
            <w:noWrap/>
            <w:vAlign w:val="center"/>
            <w:hideMark/>
          </w:tcPr>
          <w:p w14:paraId="691F99F9"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7%</w:t>
            </w:r>
          </w:p>
        </w:tc>
      </w:tr>
      <w:tr w:rsidR="00904932" w:rsidRPr="00904932" w14:paraId="66125C99" w14:textId="77777777" w:rsidTr="00904932">
        <w:trPr>
          <w:trHeight w:val="250"/>
        </w:trPr>
        <w:tc>
          <w:tcPr>
            <w:tcW w:w="3124" w:type="dxa"/>
            <w:shd w:val="clear" w:color="auto" w:fill="auto"/>
            <w:noWrap/>
            <w:vAlign w:val="center"/>
            <w:hideMark/>
          </w:tcPr>
          <w:p w14:paraId="75BE7C5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7B5341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Moderna + Moderna + Pfizer</w:t>
            </w:r>
          </w:p>
        </w:tc>
        <w:tc>
          <w:tcPr>
            <w:tcW w:w="1239" w:type="dxa"/>
            <w:shd w:val="clear" w:color="auto" w:fill="auto"/>
            <w:noWrap/>
            <w:vAlign w:val="center"/>
            <w:hideMark/>
          </w:tcPr>
          <w:p w14:paraId="6D9BC3B2"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8</w:t>
            </w:r>
          </w:p>
        </w:tc>
        <w:tc>
          <w:tcPr>
            <w:tcW w:w="1843" w:type="dxa"/>
            <w:shd w:val="clear" w:color="auto" w:fill="auto"/>
            <w:noWrap/>
            <w:vAlign w:val="center"/>
            <w:hideMark/>
          </w:tcPr>
          <w:p w14:paraId="0BAF7B1A"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w:t>
            </w:r>
          </w:p>
        </w:tc>
      </w:tr>
      <w:tr w:rsidR="00904932" w:rsidRPr="00904932" w14:paraId="25C1FCAC" w14:textId="77777777" w:rsidTr="00904932">
        <w:trPr>
          <w:trHeight w:val="250"/>
        </w:trPr>
        <w:tc>
          <w:tcPr>
            <w:tcW w:w="3124" w:type="dxa"/>
            <w:shd w:val="clear" w:color="auto" w:fill="auto"/>
            <w:noWrap/>
            <w:vAlign w:val="center"/>
            <w:hideMark/>
          </w:tcPr>
          <w:p w14:paraId="697756B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2466AF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Sinovac + Sinovac</w:t>
            </w:r>
          </w:p>
        </w:tc>
        <w:tc>
          <w:tcPr>
            <w:tcW w:w="1239" w:type="dxa"/>
            <w:shd w:val="clear" w:color="auto" w:fill="auto"/>
            <w:noWrap/>
            <w:vAlign w:val="center"/>
            <w:hideMark/>
          </w:tcPr>
          <w:p w14:paraId="02837B2D"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10</w:t>
            </w:r>
          </w:p>
        </w:tc>
        <w:tc>
          <w:tcPr>
            <w:tcW w:w="1843" w:type="dxa"/>
            <w:shd w:val="clear" w:color="auto" w:fill="auto"/>
            <w:noWrap/>
            <w:vAlign w:val="center"/>
            <w:hideMark/>
          </w:tcPr>
          <w:p w14:paraId="09192C37"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w:t>
            </w:r>
          </w:p>
        </w:tc>
      </w:tr>
      <w:tr w:rsidR="00904932" w:rsidRPr="00904932" w14:paraId="225B79B7" w14:textId="77777777" w:rsidTr="00904932">
        <w:trPr>
          <w:trHeight w:val="250"/>
        </w:trPr>
        <w:tc>
          <w:tcPr>
            <w:tcW w:w="3124" w:type="dxa"/>
            <w:shd w:val="clear" w:color="auto" w:fill="auto"/>
            <w:noWrap/>
            <w:vAlign w:val="center"/>
            <w:hideMark/>
          </w:tcPr>
          <w:p w14:paraId="1E070FE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FFA72DE"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Pfizer + Pfizer</w:t>
            </w:r>
          </w:p>
        </w:tc>
        <w:tc>
          <w:tcPr>
            <w:tcW w:w="1239" w:type="dxa"/>
            <w:shd w:val="clear" w:color="auto" w:fill="auto"/>
            <w:noWrap/>
            <w:vAlign w:val="center"/>
            <w:hideMark/>
          </w:tcPr>
          <w:p w14:paraId="16156B3B"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w:t>
            </w:r>
          </w:p>
        </w:tc>
        <w:tc>
          <w:tcPr>
            <w:tcW w:w="1843" w:type="dxa"/>
            <w:shd w:val="clear" w:color="auto" w:fill="auto"/>
            <w:noWrap/>
            <w:vAlign w:val="center"/>
            <w:hideMark/>
          </w:tcPr>
          <w:p w14:paraId="4EBF7795"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w:t>
            </w:r>
          </w:p>
        </w:tc>
      </w:tr>
      <w:tr w:rsidR="00904932" w:rsidRPr="00904932" w14:paraId="563A17DF" w14:textId="77777777" w:rsidTr="00904932">
        <w:trPr>
          <w:trHeight w:val="250"/>
        </w:trPr>
        <w:tc>
          <w:tcPr>
            <w:tcW w:w="3124" w:type="dxa"/>
            <w:shd w:val="clear" w:color="auto" w:fill="auto"/>
            <w:noWrap/>
            <w:vAlign w:val="center"/>
            <w:hideMark/>
          </w:tcPr>
          <w:p w14:paraId="2A5936E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3B9BF217"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Sinovac + Sinovac + Moderna + Pfizer</w:t>
            </w:r>
          </w:p>
        </w:tc>
        <w:tc>
          <w:tcPr>
            <w:tcW w:w="1239" w:type="dxa"/>
            <w:shd w:val="clear" w:color="auto" w:fill="auto"/>
            <w:noWrap/>
            <w:vAlign w:val="center"/>
            <w:hideMark/>
          </w:tcPr>
          <w:p w14:paraId="68A342B5"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34</w:t>
            </w:r>
          </w:p>
        </w:tc>
        <w:tc>
          <w:tcPr>
            <w:tcW w:w="1843" w:type="dxa"/>
            <w:shd w:val="clear" w:color="auto" w:fill="auto"/>
            <w:noWrap/>
            <w:vAlign w:val="center"/>
            <w:hideMark/>
          </w:tcPr>
          <w:p w14:paraId="5A42F83D"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13%</w:t>
            </w:r>
          </w:p>
        </w:tc>
      </w:tr>
      <w:tr w:rsidR="00904932" w:rsidRPr="00904932" w14:paraId="5F46DBAA" w14:textId="77777777" w:rsidTr="00904932">
        <w:trPr>
          <w:trHeight w:val="250"/>
        </w:trPr>
        <w:tc>
          <w:tcPr>
            <w:tcW w:w="3124" w:type="dxa"/>
            <w:shd w:val="clear" w:color="auto" w:fill="auto"/>
            <w:noWrap/>
            <w:vAlign w:val="center"/>
            <w:hideMark/>
          </w:tcPr>
          <w:p w14:paraId="0DB2AC71"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1A8E2A25" w14:textId="77777777" w:rsidR="00904932" w:rsidRPr="00904932" w:rsidRDefault="00904932" w:rsidP="00904932">
            <w:pPr>
              <w:spacing w:line="334" w:lineRule="auto"/>
              <w:contextualSpacing/>
              <w:rPr>
                <w:rFonts w:ascii="Arial" w:hAnsi="Arial" w:cs="Arial"/>
                <w:color w:val="000000"/>
                <w:sz w:val="16"/>
                <w:szCs w:val="16"/>
              </w:rPr>
            </w:pPr>
            <w:proofErr w:type="spellStart"/>
            <w:r w:rsidRPr="00904932">
              <w:rPr>
                <w:rFonts w:ascii="Arial" w:hAnsi="Arial" w:cs="Arial"/>
                <w:iCs/>
                <w:color w:val="000000"/>
                <w:sz w:val="16"/>
                <w:szCs w:val="16"/>
              </w:rPr>
              <w:t>Astrazeneca</w:t>
            </w:r>
            <w:proofErr w:type="spellEnd"/>
            <w:r w:rsidRPr="00904932">
              <w:rPr>
                <w:rFonts w:ascii="Arial" w:hAnsi="Arial" w:cs="Arial"/>
                <w:iCs/>
                <w:color w:val="000000"/>
                <w:sz w:val="16"/>
                <w:szCs w:val="16"/>
              </w:rPr>
              <w:t xml:space="preserve"> + </w:t>
            </w:r>
            <w:proofErr w:type="spellStart"/>
            <w:r w:rsidRPr="00904932">
              <w:rPr>
                <w:rFonts w:ascii="Arial" w:hAnsi="Arial" w:cs="Arial"/>
                <w:iCs/>
                <w:color w:val="000000"/>
                <w:sz w:val="16"/>
                <w:szCs w:val="16"/>
              </w:rPr>
              <w:t>Astrazeneca</w:t>
            </w:r>
            <w:proofErr w:type="spellEnd"/>
            <w:r w:rsidRPr="00904932">
              <w:rPr>
                <w:rFonts w:ascii="Arial" w:hAnsi="Arial" w:cs="Arial"/>
                <w:iCs/>
                <w:color w:val="000000"/>
                <w:sz w:val="16"/>
                <w:szCs w:val="16"/>
              </w:rPr>
              <w:t xml:space="preserve"> + Pfizer + Pfizer</w:t>
            </w:r>
          </w:p>
        </w:tc>
        <w:tc>
          <w:tcPr>
            <w:tcW w:w="1239" w:type="dxa"/>
            <w:shd w:val="clear" w:color="auto" w:fill="auto"/>
            <w:noWrap/>
            <w:vAlign w:val="center"/>
            <w:hideMark/>
          </w:tcPr>
          <w:p w14:paraId="5AF37EAB"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6</w:t>
            </w:r>
          </w:p>
        </w:tc>
        <w:tc>
          <w:tcPr>
            <w:tcW w:w="1843" w:type="dxa"/>
            <w:shd w:val="clear" w:color="auto" w:fill="auto"/>
            <w:noWrap/>
            <w:vAlign w:val="center"/>
            <w:hideMark/>
          </w:tcPr>
          <w:p w14:paraId="4A4F4CEC"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w:t>
            </w:r>
          </w:p>
        </w:tc>
      </w:tr>
      <w:tr w:rsidR="00904932" w:rsidRPr="00904932" w14:paraId="415C01FE" w14:textId="77777777" w:rsidTr="00904932">
        <w:trPr>
          <w:trHeight w:val="250"/>
        </w:trPr>
        <w:tc>
          <w:tcPr>
            <w:tcW w:w="3124" w:type="dxa"/>
            <w:shd w:val="clear" w:color="auto" w:fill="auto"/>
            <w:noWrap/>
            <w:vAlign w:val="center"/>
            <w:hideMark/>
          </w:tcPr>
          <w:p w14:paraId="3C65F21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Dose</w:t>
            </w:r>
          </w:p>
        </w:tc>
        <w:tc>
          <w:tcPr>
            <w:tcW w:w="3717" w:type="dxa"/>
            <w:shd w:val="clear" w:color="auto" w:fill="auto"/>
            <w:noWrap/>
            <w:vAlign w:val="center"/>
            <w:hideMark/>
          </w:tcPr>
          <w:p w14:paraId="2E05DE7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1st dose Pfizer</w:t>
            </w:r>
          </w:p>
        </w:tc>
        <w:tc>
          <w:tcPr>
            <w:tcW w:w="1239" w:type="dxa"/>
            <w:shd w:val="clear" w:color="auto" w:fill="auto"/>
            <w:noWrap/>
            <w:vAlign w:val="center"/>
            <w:hideMark/>
          </w:tcPr>
          <w:p w14:paraId="32350B5F"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8</w:t>
            </w:r>
          </w:p>
        </w:tc>
        <w:tc>
          <w:tcPr>
            <w:tcW w:w="1843" w:type="dxa"/>
            <w:shd w:val="clear" w:color="auto" w:fill="auto"/>
            <w:noWrap/>
            <w:vAlign w:val="center"/>
            <w:hideMark/>
          </w:tcPr>
          <w:p w14:paraId="38020A9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w:t>
            </w:r>
          </w:p>
        </w:tc>
      </w:tr>
      <w:tr w:rsidR="00904932" w:rsidRPr="00904932" w14:paraId="6CE84413" w14:textId="77777777" w:rsidTr="00904932">
        <w:trPr>
          <w:trHeight w:val="250"/>
        </w:trPr>
        <w:tc>
          <w:tcPr>
            <w:tcW w:w="3124" w:type="dxa"/>
            <w:shd w:val="clear" w:color="auto" w:fill="auto"/>
            <w:noWrap/>
            <w:vAlign w:val="center"/>
            <w:hideMark/>
          </w:tcPr>
          <w:p w14:paraId="01C53249"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526D92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2nd dose Pfizer</w:t>
            </w:r>
          </w:p>
        </w:tc>
        <w:tc>
          <w:tcPr>
            <w:tcW w:w="1239" w:type="dxa"/>
            <w:shd w:val="clear" w:color="auto" w:fill="auto"/>
            <w:noWrap/>
            <w:vAlign w:val="center"/>
            <w:hideMark/>
          </w:tcPr>
          <w:p w14:paraId="3E65CE0B"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14</w:t>
            </w:r>
          </w:p>
        </w:tc>
        <w:tc>
          <w:tcPr>
            <w:tcW w:w="1843" w:type="dxa"/>
            <w:shd w:val="clear" w:color="auto" w:fill="auto"/>
            <w:noWrap/>
            <w:vAlign w:val="center"/>
            <w:hideMark/>
          </w:tcPr>
          <w:p w14:paraId="629E45CA"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68A01F2F" w14:textId="77777777" w:rsidTr="00904932">
        <w:trPr>
          <w:trHeight w:val="437"/>
        </w:trPr>
        <w:tc>
          <w:tcPr>
            <w:tcW w:w="3124" w:type="dxa"/>
            <w:shd w:val="clear" w:color="auto" w:fill="auto"/>
            <w:noWrap/>
            <w:vAlign w:val="center"/>
            <w:hideMark/>
          </w:tcPr>
          <w:p w14:paraId="25888A1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2271BB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3rd dose Pfizer</w:t>
            </w:r>
          </w:p>
        </w:tc>
        <w:tc>
          <w:tcPr>
            <w:tcW w:w="1239" w:type="dxa"/>
            <w:shd w:val="clear" w:color="auto" w:fill="auto"/>
            <w:noWrap/>
            <w:vAlign w:val="center"/>
            <w:hideMark/>
          </w:tcPr>
          <w:p w14:paraId="315F9A52"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73</w:t>
            </w:r>
          </w:p>
        </w:tc>
        <w:tc>
          <w:tcPr>
            <w:tcW w:w="1843" w:type="dxa"/>
            <w:shd w:val="clear" w:color="auto" w:fill="auto"/>
            <w:noWrap/>
            <w:vAlign w:val="center"/>
            <w:hideMark/>
          </w:tcPr>
          <w:p w14:paraId="3BAFF6E9"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28%</w:t>
            </w:r>
          </w:p>
        </w:tc>
      </w:tr>
      <w:tr w:rsidR="00904932" w:rsidRPr="00904932" w14:paraId="4DA371EB" w14:textId="77777777" w:rsidTr="00904932">
        <w:trPr>
          <w:trHeight w:val="250"/>
        </w:trPr>
        <w:tc>
          <w:tcPr>
            <w:tcW w:w="3124" w:type="dxa"/>
            <w:shd w:val="clear" w:color="auto" w:fill="auto"/>
            <w:noWrap/>
            <w:vAlign w:val="center"/>
            <w:hideMark/>
          </w:tcPr>
          <w:p w14:paraId="61D9466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676EF90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4th dose Pfizer</w:t>
            </w:r>
          </w:p>
        </w:tc>
        <w:tc>
          <w:tcPr>
            <w:tcW w:w="1239" w:type="dxa"/>
            <w:shd w:val="clear" w:color="auto" w:fill="auto"/>
            <w:noWrap/>
            <w:vAlign w:val="center"/>
            <w:hideMark/>
          </w:tcPr>
          <w:p w14:paraId="2754FF1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54</w:t>
            </w:r>
          </w:p>
        </w:tc>
        <w:tc>
          <w:tcPr>
            <w:tcW w:w="1843" w:type="dxa"/>
            <w:shd w:val="clear" w:color="auto" w:fill="auto"/>
            <w:noWrap/>
            <w:vAlign w:val="center"/>
            <w:hideMark/>
          </w:tcPr>
          <w:p w14:paraId="02CB55B3"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1C5E05AD" w14:textId="77777777" w:rsidTr="00904932">
        <w:trPr>
          <w:trHeight w:val="250"/>
        </w:trPr>
        <w:tc>
          <w:tcPr>
            <w:tcW w:w="3124" w:type="dxa"/>
            <w:shd w:val="clear" w:color="auto" w:fill="auto"/>
            <w:noWrap/>
            <w:vAlign w:val="center"/>
            <w:hideMark/>
          </w:tcPr>
          <w:p w14:paraId="12561F90"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0D05A3F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2nd dose  Sinovac</w:t>
            </w:r>
          </w:p>
        </w:tc>
        <w:tc>
          <w:tcPr>
            <w:tcW w:w="1239" w:type="dxa"/>
            <w:shd w:val="clear" w:color="auto" w:fill="auto"/>
            <w:noWrap/>
            <w:vAlign w:val="center"/>
            <w:hideMark/>
          </w:tcPr>
          <w:p w14:paraId="2C700D9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11</w:t>
            </w:r>
          </w:p>
        </w:tc>
        <w:tc>
          <w:tcPr>
            <w:tcW w:w="1843" w:type="dxa"/>
            <w:shd w:val="clear" w:color="auto" w:fill="auto"/>
            <w:noWrap/>
            <w:vAlign w:val="center"/>
            <w:hideMark/>
          </w:tcPr>
          <w:p w14:paraId="61C6A2BD"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7BC91988" w14:textId="77777777" w:rsidTr="00904932">
        <w:trPr>
          <w:trHeight w:val="250"/>
        </w:trPr>
        <w:tc>
          <w:tcPr>
            <w:tcW w:w="3124" w:type="dxa"/>
            <w:shd w:val="clear" w:color="auto" w:fill="auto"/>
            <w:noWrap/>
            <w:vAlign w:val="center"/>
            <w:hideMark/>
          </w:tcPr>
          <w:p w14:paraId="5E0C8F9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2ED9A9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3rd dose  Sinovac</w:t>
            </w:r>
          </w:p>
        </w:tc>
        <w:tc>
          <w:tcPr>
            <w:tcW w:w="1239" w:type="dxa"/>
            <w:shd w:val="clear" w:color="auto" w:fill="auto"/>
            <w:noWrap/>
            <w:vAlign w:val="center"/>
            <w:hideMark/>
          </w:tcPr>
          <w:p w14:paraId="104FE9DF"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91</w:t>
            </w:r>
          </w:p>
        </w:tc>
        <w:tc>
          <w:tcPr>
            <w:tcW w:w="1843" w:type="dxa"/>
            <w:shd w:val="clear" w:color="auto" w:fill="auto"/>
            <w:noWrap/>
            <w:vAlign w:val="center"/>
            <w:hideMark/>
          </w:tcPr>
          <w:p w14:paraId="64CBDC23"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35%</w:t>
            </w:r>
          </w:p>
        </w:tc>
      </w:tr>
      <w:tr w:rsidR="00904932" w:rsidRPr="00904932" w14:paraId="6109AC90" w14:textId="77777777" w:rsidTr="00904932">
        <w:trPr>
          <w:trHeight w:val="531"/>
        </w:trPr>
        <w:tc>
          <w:tcPr>
            <w:tcW w:w="3124" w:type="dxa"/>
            <w:shd w:val="clear" w:color="auto" w:fill="auto"/>
            <w:noWrap/>
            <w:vAlign w:val="center"/>
            <w:hideMark/>
          </w:tcPr>
          <w:p w14:paraId="6CE5690B"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37FBC7E7"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iCs/>
                <w:color w:val="000000"/>
                <w:sz w:val="16"/>
                <w:szCs w:val="16"/>
              </w:rPr>
              <w:t>4th dose Sinovac</w:t>
            </w:r>
          </w:p>
        </w:tc>
        <w:tc>
          <w:tcPr>
            <w:tcW w:w="1239" w:type="dxa"/>
            <w:shd w:val="clear" w:color="auto" w:fill="auto"/>
            <w:noWrap/>
            <w:vAlign w:val="center"/>
            <w:hideMark/>
          </w:tcPr>
          <w:p w14:paraId="5130BAF7"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10</w:t>
            </w:r>
          </w:p>
        </w:tc>
        <w:tc>
          <w:tcPr>
            <w:tcW w:w="1843" w:type="dxa"/>
            <w:shd w:val="clear" w:color="auto" w:fill="auto"/>
            <w:noWrap/>
            <w:vAlign w:val="center"/>
            <w:hideMark/>
          </w:tcPr>
          <w:p w14:paraId="55816B99"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43%</w:t>
            </w:r>
          </w:p>
        </w:tc>
      </w:tr>
      <w:tr w:rsidR="00904932" w:rsidRPr="00904932" w14:paraId="03ABC552" w14:textId="77777777" w:rsidTr="00904932">
        <w:trPr>
          <w:trHeight w:val="250"/>
        </w:trPr>
        <w:tc>
          <w:tcPr>
            <w:tcW w:w="3124" w:type="dxa"/>
            <w:shd w:val="clear" w:color="auto" w:fill="auto"/>
            <w:noWrap/>
            <w:vAlign w:val="center"/>
            <w:hideMark/>
          </w:tcPr>
          <w:p w14:paraId="4B2E044D"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Comorbidity </w:t>
            </w:r>
          </w:p>
        </w:tc>
        <w:tc>
          <w:tcPr>
            <w:tcW w:w="3717" w:type="dxa"/>
            <w:shd w:val="clear" w:color="auto" w:fill="auto"/>
            <w:noWrap/>
            <w:vAlign w:val="center"/>
            <w:hideMark/>
          </w:tcPr>
          <w:p w14:paraId="3F67DEB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0ED78C57"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230</w:t>
            </w:r>
          </w:p>
        </w:tc>
        <w:tc>
          <w:tcPr>
            <w:tcW w:w="1843" w:type="dxa"/>
            <w:shd w:val="clear" w:color="auto" w:fill="auto"/>
            <w:noWrap/>
            <w:vAlign w:val="center"/>
            <w:hideMark/>
          </w:tcPr>
          <w:p w14:paraId="7E2F9D2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88%</w:t>
            </w:r>
          </w:p>
        </w:tc>
      </w:tr>
      <w:tr w:rsidR="00904932" w:rsidRPr="00904932" w14:paraId="41B0676B" w14:textId="77777777" w:rsidTr="00904932">
        <w:trPr>
          <w:trHeight w:val="250"/>
        </w:trPr>
        <w:tc>
          <w:tcPr>
            <w:tcW w:w="3124" w:type="dxa"/>
            <w:shd w:val="clear" w:color="auto" w:fill="auto"/>
            <w:noWrap/>
            <w:vAlign w:val="center"/>
            <w:hideMark/>
          </w:tcPr>
          <w:p w14:paraId="6FBD957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571B8BF5"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Yes</w:t>
            </w:r>
          </w:p>
        </w:tc>
        <w:tc>
          <w:tcPr>
            <w:tcW w:w="1239" w:type="dxa"/>
            <w:shd w:val="clear" w:color="auto" w:fill="auto"/>
            <w:noWrap/>
            <w:vAlign w:val="center"/>
            <w:hideMark/>
          </w:tcPr>
          <w:p w14:paraId="56D529EB"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31</w:t>
            </w:r>
          </w:p>
        </w:tc>
        <w:tc>
          <w:tcPr>
            <w:tcW w:w="1843" w:type="dxa"/>
            <w:shd w:val="clear" w:color="auto" w:fill="auto"/>
            <w:noWrap/>
            <w:vAlign w:val="center"/>
            <w:hideMark/>
          </w:tcPr>
          <w:p w14:paraId="4AB5F623"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12%</w:t>
            </w:r>
          </w:p>
        </w:tc>
      </w:tr>
      <w:tr w:rsidR="00904932" w:rsidRPr="00904932" w14:paraId="469D335D" w14:textId="77777777" w:rsidTr="00904932">
        <w:trPr>
          <w:trHeight w:val="250"/>
        </w:trPr>
        <w:tc>
          <w:tcPr>
            <w:tcW w:w="3124" w:type="dxa"/>
            <w:shd w:val="clear" w:color="auto" w:fill="auto"/>
            <w:noWrap/>
            <w:vAlign w:val="center"/>
            <w:hideMark/>
          </w:tcPr>
          <w:p w14:paraId="277C5162"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lastRenderedPageBreak/>
              <w:t xml:space="preserve">History of allergy </w:t>
            </w:r>
          </w:p>
        </w:tc>
        <w:tc>
          <w:tcPr>
            <w:tcW w:w="3717" w:type="dxa"/>
            <w:shd w:val="clear" w:color="auto" w:fill="auto"/>
            <w:noWrap/>
            <w:vAlign w:val="center"/>
            <w:hideMark/>
          </w:tcPr>
          <w:p w14:paraId="674AEA73"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4011336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229</w:t>
            </w:r>
          </w:p>
        </w:tc>
        <w:tc>
          <w:tcPr>
            <w:tcW w:w="1843" w:type="dxa"/>
            <w:shd w:val="clear" w:color="auto" w:fill="auto"/>
            <w:noWrap/>
            <w:vAlign w:val="center"/>
            <w:hideMark/>
          </w:tcPr>
          <w:p w14:paraId="6EEE4A16"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88%</w:t>
            </w:r>
          </w:p>
        </w:tc>
      </w:tr>
      <w:tr w:rsidR="00904932" w:rsidRPr="00904932" w14:paraId="465B59B5" w14:textId="77777777" w:rsidTr="00904932">
        <w:trPr>
          <w:trHeight w:val="250"/>
        </w:trPr>
        <w:tc>
          <w:tcPr>
            <w:tcW w:w="3124" w:type="dxa"/>
            <w:shd w:val="clear" w:color="auto" w:fill="auto"/>
            <w:noWrap/>
            <w:vAlign w:val="center"/>
            <w:hideMark/>
          </w:tcPr>
          <w:p w14:paraId="17C85CE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CA14696"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Food allergy </w:t>
            </w:r>
          </w:p>
        </w:tc>
        <w:tc>
          <w:tcPr>
            <w:tcW w:w="1239" w:type="dxa"/>
            <w:shd w:val="clear" w:color="auto" w:fill="auto"/>
            <w:noWrap/>
            <w:vAlign w:val="center"/>
            <w:hideMark/>
          </w:tcPr>
          <w:p w14:paraId="521DD091"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28</w:t>
            </w:r>
          </w:p>
        </w:tc>
        <w:tc>
          <w:tcPr>
            <w:tcW w:w="1843" w:type="dxa"/>
            <w:shd w:val="clear" w:color="auto" w:fill="auto"/>
            <w:noWrap/>
            <w:vAlign w:val="center"/>
            <w:hideMark/>
          </w:tcPr>
          <w:p w14:paraId="5CD7300D"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11%</w:t>
            </w:r>
          </w:p>
        </w:tc>
      </w:tr>
      <w:tr w:rsidR="00904932" w:rsidRPr="00904932" w14:paraId="3D9350CB" w14:textId="77777777" w:rsidTr="00904932">
        <w:trPr>
          <w:trHeight w:val="250"/>
        </w:trPr>
        <w:tc>
          <w:tcPr>
            <w:tcW w:w="3124" w:type="dxa"/>
            <w:shd w:val="clear" w:color="auto" w:fill="auto"/>
            <w:noWrap/>
            <w:vAlign w:val="center"/>
            <w:hideMark/>
          </w:tcPr>
          <w:p w14:paraId="398D5FAD"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F9C5167"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xml:space="preserve">Drug allergy </w:t>
            </w:r>
          </w:p>
        </w:tc>
        <w:tc>
          <w:tcPr>
            <w:tcW w:w="1239" w:type="dxa"/>
            <w:shd w:val="clear" w:color="auto" w:fill="auto"/>
            <w:noWrap/>
            <w:vAlign w:val="center"/>
            <w:hideMark/>
          </w:tcPr>
          <w:p w14:paraId="2AEBC94A"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4</w:t>
            </w:r>
          </w:p>
        </w:tc>
        <w:tc>
          <w:tcPr>
            <w:tcW w:w="1843" w:type="dxa"/>
            <w:shd w:val="clear" w:color="auto" w:fill="auto"/>
            <w:noWrap/>
            <w:vAlign w:val="center"/>
            <w:hideMark/>
          </w:tcPr>
          <w:p w14:paraId="3295F2E0"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w:t>
            </w:r>
          </w:p>
        </w:tc>
      </w:tr>
      <w:tr w:rsidR="00904932" w:rsidRPr="00904932" w14:paraId="4426D171" w14:textId="77777777" w:rsidTr="00904932">
        <w:trPr>
          <w:trHeight w:val="250"/>
        </w:trPr>
        <w:tc>
          <w:tcPr>
            <w:tcW w:w="3124" w:type="dxa"/>
            <w:shd w:val="clear" w:color="auto" w:fill="auto"/>
            <w:noWrap/>
            <w:vAlign w:val="center"/>
            <w:hideMark/>
          </w:tcPr>
          <w:p w14:paraId="578F5848"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Hospitalization in the last 3 months</w:t>
            </w:r>
          </w:p>
        </w:tc>
        <w:tc>
          <w:tcPr>
            <w:tcW w:w="3717" w:type="dxa"/>
            <w:shd w:val="clear" w:color="auto" w:fill="auto"/>
            <w:noWrap/>
            <w:vAlign w:val="center"/>
            <w:hideMark/>
          </w:tcPr>
          <w:p w14:paraId="313AA882"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325F61B6"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248</w:t>
            </w:r>
          </w:p>
        </w:tc>
        <w:tc>
          <w:tcPr>
            <w:tcW w:w="1843" w:type="dxa"/>
            <w:shd w:val="clear" w:color="auto" w:fill="auto"/>
            <w:noWrap/>
            <w:vAlign w:val="center"/>
            <w:hideMark/>
          </w:tcPr>
          <w:p w14:paraId="10345ED5"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95%</w:t>
            </w:r>
          </w:p>
        </w:tc>
      </w:tr>
      <w:tr w:rsidR="00904932" w:rsidRPr="00904932" w14:paraId="58C6F008" w14:textId="77777777" w:rsidTr="00904932">
        <w:trPr>
          <w:trHeight w:val="250"/>
        </w:trPr>
        <w:tc>
          <w:tcPr>
            <w:tcW w:w="3124" w:type="dxa"/>
            <w:shd w:val="clear" w:color="auto" w:fill="auto"/>
            <w:noWrap/>
            <w:vAlign w:val="center"/>
            <w:hideMark/>
          </w:tcPr>
          <w:p w14:paraId="203DC182"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7C354973"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Yes</w:t>
            </w:r>
          </w:p>
        </w:tc>
        <w:tc>
          <w:tcPr>
            <w:tcW w:w="1239" w:type="dxa"/>
            <w:shd w:val="clear" w:color="auto" w:fill="auto"/>
            <w:noWrap/>
            <w:vAlign w:val="center"/>
            <w:hideMark/>
          </w:tcPr>
          <w:p w14:paraId="234FCDF2"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13</w:t>
            </w:r>
          </w:p>
        </w:tc>
        <w:tc>
          <w:tcPr>
            <w:tcW w:w="1843" w:type="dxa"/>
            <w:shd w:val="clear" w:color="auto" w:fill="auto"/>
            <w:noWrap/>
            <w:vAlign w:val="center"/>
            <w:hideMark/>
          </w:tcPr>
          <w:p w14:paraId="479C787B"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5%</w:t>
            </w:r>
          </w:p>
        </w:tc>
      </w:tr>
      <w:tr w:rsidR="00904932" w:rsidRPr="00904932" w14:paraId="462052D8" w14:textId="77777777" w:rsidTr="00904932">
        <w:trPr>
          <w:trHeight w:val="126"/>
        </w:trPr>
        <w:tc>
          <w:tcPr>
            <w:tcW w:w="3124" w:type="dxa"/>
            <w:vMerge w:val="restart"/>
            <w:shd w:val="clear" w:color="auto" w:fill="auto"/>
            <w:noWrap/>
            <w:vAlign w:val="center"/>
            <w:hideMark/>
          </w:tcPr>
          <w:p w14:paraId="0FB20643"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History of medication in the last 6 months</w:t>
            </w:r>
          </w:p>
          <w:p w14:paraId="62F34B94" w14:textId="3BA6F39C"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AA7637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729F2830"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207</w:t>
            </w:r>
          </w:p>
        </w:tc>
        <w:tc>
          <w:tcPr>
            <w:tcW w:w="1843" w:type="dxa"/>
            <w:shd w:val="clear" w:color="auto" w:fill="auto"/>
            <w:noWrap/>
            <w:vAlign w:val="center"/>
            <w:hideMark/>
          </w:tcPr>
          <w:p w14:paraId="5ED5AB7A"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79%</w:t>
            </w:r>
          </w:p>
        </w:tc>
      </w:tr>
      <w:tr w:rsidR="00904932" w:rsidRPr="00904932" w14:paraId="6A3611E1" w14:textId="77777777" w:rsidTr="00904932">
        <w:trPr>
          <w:trHeight w:val="250"/>
        </w:trPr>
        <w:tc>
          <w:tcPr>
            <w:tcW w:w="3124" w:type="dxa"/>
            <w:vMerge/>
            <w:shd w:val="clear" w:color="auto" w:fill="auto"/>
            <w:noWrap/>
            <w:vAlign w:val="center"/>
            <w:hideMark/>
          </w:tcPr>
          <w:p w14:paraId="6116F50B" w14:textId="365C583E" w:rsidR="00904932" w:rsidRPr="00904932" w:rsidRDefault="00904932" w:rsidP="00904932">
            <w:pPr>
              <w:spacing w:line="334" w:lineRule="auto"/>
              <w:contextualSpacing/>
              <w:rPr>
                <w:rFonts w:ascii="Arial" w:hAnsi="Arial" w:cs="Arial"/>
                <w:color w:val="000000"/>
                <w:sz w:val="16"/>
                <w:szCs w:val="16"/>
              </w:rPr>
            </w:pPr>
          </w:p>
        </w:tc>
        <w:tc>
          <w:tcPr>
            <w:tcW w:w="3717" w:type="dxa"/>
            <w:shd w:val="clear" w:color="auto" w:fill="auto"/>
            <w:noWrap/>
            <w:vAlign w:val="center"/>
            <w:hideMark/>
          </w:tcPr>
          <w:p w14:paraId="48C39943"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Yes</w:t>
            </w:r>
          </w:p>
        </w:tc>
        <w:tc>
          <w:tcPr>
            <w:tcW w:w="1239" w:type="dxa"/>
            <w:shd w:val="clear" w:color="auto" w:fill="auto"/>
            <w:noWrap/>
            <w:vAlign w:val="center"/>
            <w:hideMark/>
          </w:tcPr>
          <w:p w14:paraId="12DB7942"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54</w:t>
            </w:r>
          </w:p>
        </w:tc>
        <w:tc>
          <w:tcPr>
            <w:tcW w:w="1843" w:type="dxa"/>
            <w:shd w:val="clear" w:color="auto" w:fill="auto"/>
            <w:noWrap/>
            <w:vAlign w:val="center"/>
            <w:hideMark/>
          </w:tcPr>
          <w:p w14:paraId="08C78B42"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21%</w:t>
            </w:r>
          </w:p>
        </w:tc>
      </w:tr>
      <w:tr w:rsidR="00904932" w:rsidRPr="00904932" w14:paraId="6065FD1A" w14:textId="77777777" w:rsidTr="00904932">
        <w:trPr>
          <w:trHeight w:val="78"/>
        </w:trPr>
        <w:tc>
          <w:tcPr>
            <w:tcW w:w="3124" w:type="dxa"/>
            <w:shd w:val="clear" w:color="auto" w:fill="auto"/>
            <w:noWrap/>
            <w:vAlign w:val="center"/>
            <w:hideMark/>
          </w:tcPr>
          <w:p w14:paraId="3758D9B4"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History of Covid</w:t>
            </w:r>
          </w:p>
        </w:tc>
        <w:tc>
          <w:tcPr>
            <w:tcW w:w="3717" w:type="dxa"/>
            <w:shd w:val="clear" w:color="auto" w:fill="auto"/>
            <w:noWrap/>
            <w:vAlign w:val="center"/>
            <w:hideMark/>
          </w:tcPr>
          <w:p w14:paraId="66A4969F"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No</w:t>
            </w:r>
          </w:p>
        </w:tc>
        <w:tc>
          <w:tcPr>
            <w:tcW w:w="1239" w:type="dxa"/>
            <w:shd w:val="clear" w:color="auto" w:fill="auto"/>
            <w:noWrap/>
            <w:vAlign w:val="center"/>
            <w:hideMark/>
          </w:tcPr>
          <w:p w14:paraId="53332F7F"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180</w:t>
            </w:r>
          </w:p>
        </w:tc>
        <w:tc>
          <w:tcPr>
            <w:tcW w:w="1843" w:type="dxa"/>
            <w:shd w:val="clear" w:color="auto" w:fill="auto"/>
            <w:noWrap/>
            <w:vAlign w:val="center"/>
            <w:hideMark/>
          </w:tcPr>
          <w:p w14:paraId="6DB1FDE4"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69%</w:t>
            </w:r>
          </w:p>
        </w:tc>
      </w:tr>
      <w:tr w:rsidR="00904932" w:rsidRPr="00904932" w14:paraId="34673E69" w14:textId="77777777" w:rsidTr="00904932">
        <w:trPr>
          <w:trHeight w:val="97"/>
        </w:trPr>
        <w:tc>
          <w:tcPr>
            <w:tcW w:w="3124" w:type="dxa"/>
            <w:shd w:val="clear" w:color="auto" w:fill="auto"/>
            <w:noWrap/>
            <w:vAlign w:val="center"/>
            <w:hideMark/>
          </w:tcPr>
          <w:p w14:paraId="43ABB03A"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 </w:t>
            </w:r>
          </w:p>
        </w:tc>
        <w:tc>
          <w:tcPr>
            <w:tcW w:w="3717" w:type="dxa"/>
            <w:shd w:val="clear" w:color="auto" w:fill="auto"/>
            <w:noWrap/>
            <w:vAlign w:val="center"/>
            <w:hideMark/>
          </w:tcPr>
          <w:p w14:paraId="2C947C7C" w14:textId="77777777" w:rsidR="00904932" w:rsidRPr="00904932" w:rsidRDefault="00904932" w:rsidP="00904932">
            <w:pPr>
              <w:spacing w:line="334" w:lineRule="auto"/>
              <w:contextualSpacing/>
              <w:rPr>
                <w:rFonts w:ascii="Arial" w:hAnsi="Arial" w:cs="Arial"/>
                <w:color w:val="000000"/>
                <w:sz w:val="16"/>
                <w:szCs w:val="16"/>
              </w:rPr>
            </w:pPr>
            <w:r w:rsidRPr="00904932">
              <w:rPr>
                <w:rFonts w:ascii="Arial" w:hAnsi="Arial" w:cs="Arial"/>
                <w:color w:val="000000"/>
                <w:sz w:val="16"/>
                <w:szCs w:val="16"/>
              </w:rPr>
              <w:t>Yes</w:t>
            </w:r>
          </w:p>
        </w:tc>
        <w:tc>
          <w:tcPr>
            <w:tcW w:w="1239" w:type="dxa"/>
            <w:shd w:val="clear" w:color="auto" w:fill="auto"/>
            <w:noWrap/>
            <w:vAlign w:val="center"/>
            <w:hideMark/>
          </w:tcPr>
          <w:p w14:paraId="57786B99" w14:textId="77777777" w:rsidR="00904932" w:rsidRPr="00904932" w:rsidRDefault="00904932" w:rsidP="00904932">
            <w:pPr>
              <w:spacing w:line="334" w:lineRule="auto"/>
              <w:contextualSpacing/>
              <w:jc w:val="right"/>
              <w:rPr>
                <w:rFonts w:ascii="Arial" w:hAnsi="Arial" w:cs="Arial"/>
                <w:color w:val="000000"/>
                <w:sz w:val="16"/>
                <w:szCs w:val="16"/>
              </w:rPr>
            </w:pPr>
            <w:r w:rsidRPr="00904932">
              <w:rPr>
                <w:rFonts w:ascii="Arial" w:hAnsi="Arial" w:cs="Arial"/>
                <w:color w:val="000000"/>
                <w:sz w:val="16"/>
                <w:szCs w:val="16"/>
              </w:rPr>
              <w:t>81</w:t>
            </w:r>
          </w:p>
        </w:tc>
        <w:tc>
          <w:tcPr>
            <w:tcW w:w="1843" w:type="dxa"/>
            <w:shd w:val="clear" w:color="auto" w:fill="auto"/>
            <w:noWrap/>
            <w:vAlign w:val="center"/>
            <w:hideMark/>
          </w:tcPr>
          <w:p w14:paraId="41C4C285" w14:textId="77777777" w:rsidR="00904932" w:rsidRPr="00904932" w:rsidRDefault="00904932" w:rsidP="00904932">
            <w:pPr>
              <w:spacing w:line="334" w:lineRule="auto"/>
              <w:contextualSpacing/>
              <w:jc w:val="center"/>
              <w:rPr>
                <w:rFonts w:ascii="Arial" w:hAnsi="Arial" w:cs="Arial"/>
                <w:color w:val="000000"/>
                <w:sz w:val="16"/>
                <w:szCs w:val="16"/>
              </w:rPr>
            </w:pPr>
            <w:r w:rsidRPr="00904932">
              <w:rPr>
                <w:rFonts w:ascii="Arial" w:hAnsi="Arial" w:cs="Arial"/>
                <w:color w:val="000000"/>
                <w:sz w:val="16"/>
                <w:szCs w:val="16"/>
              </w:rPr>
              <w:t>31%</w:t>
            </w:r>
          </w:p>
        </w:tc>
      </w:tr>
    </w:tbl>
    <w:p w14:paraId="69C82850" w14:textId="36A09EE2" w:rsidR="00904932" w:rsidRDefault="00904932" w:rsidP="00904932">
      <w:pPr>
        <w:snapToGrid w:val="0"/>
        <w:spacing w:after="240"/>
        <w:jc w:val="both"/>
        <w:rPr>
          <w:rFonts w:ascii="Arial" w:hAnsi="Arial" w:cs="Arial"/>
          <w:sz w:val="20"/>
          <w:szCs w:val="20"/>
        </w:rPr>
      </w:pPr>
    </w:p>
    <w:p w14:paraId="46770851" w14:textId="77777777" w:rsidR="005D1333" w:rsidRDefault="005D1333" w:rsidP="00904932">
      <w:pPr>
        <w:snapToGrid w:val="0"/>
        <w:spacing w:after="240"/>
        <w:jc w:val="both"/>
        <w:rPr>
          <w:rFonts w:ascii="Arial" w:hAnsi="Arial" w:cs="Arial"/>
          <w:sz w:val="20"/>
          <w:szCs w:val="20"/>
        </w:rPr>
        <w:sectPr w:rsidR="005D1333" w:rsidSect="00904932">
          <w:type w:val="continuous"/>
          <w:pgSz w:w="11906" w:h="16838" w:code="9"/>
          <w:pgMar w:top="1418" w:right="907" w:bottom="868" w:left="964" w:header="709" w:footer="709" w:gutter="0"/>
          <w:cols w:space="708"/>
          <w:titlePg/>
          <w:docGrid w:linePitch="360"/>
        </w:sectPr>
      </w:pPr>
    </w:p>
    <w:p w14:paraId="60030925" w14:textId="77777777" w:rsidR="005D1333" w:rsidRPr="005D1333" w:rsidRDefault="005D1333" w:rsidP="005D1333">
      <w:pPr>
        <w:pStyle w:val="NormalWeb"/>
        <w:snapToGrid w:val="0"/>
        <w:spacing w:before="120" w:beforeAutospacing="0" w:after="120" w:afterAutospacing="0" w:line="334" w:lineRule="auto"/>
        <w:ind w:firstLine="142"/>
        <w:rPr>
          <w:rFonts w:ascii="Arial" w:hAnsi="Arial" w:cs="Arial"/>
          <w:b/>
          <w:bCs/>
          <w:i/>
          <w:iCs/>
          <w:sz w:val="20"/>
          <w:szCs w:val="20"/>
        </w:rPr>
      </w:pPr>
      <w:r w:rsidRPr="005D1333">
        <w:rPr>
          <w:rFonts w:ascii="Arial" w:hAnsi="Arial" w:cs="Arial"/>
          <w:b/>
          <w:bCs/>
          <w:color w:val="212529"/>
          <w:sz w:val="20"/>
          <w:szCs w:val="20"/>
        </w:rPr>
        <w:t>Adverse Event Following Immunization (AEFI)</w:t>
      </w:r>
    </w:p>
    <w:p w14:paraId="1700A32D" w14:textId="4725CC2E" w:rsidR="00F12F46" w:rsidRDefault="005D1333" w:rsidP="00F12F46">
      <w:pPr>
        <w:pStyle w:val="NormalWeb"/>
        <w:snapToGrid w:val="0"/>
        <w:spacing w:before="0" w:beforeAutospacing="0" w:after="0" w:afterAutospacing="0" w:line="334" w:lineRule="auto"/>
        <w:ind w:left="142" w:firstLine="425"/>
        <w:jc w:val="both"/>
        <w:rPr>
          <w:rFonts w:ascii="Arial" w:hAnsi="Arial" w:cs="Arial"/>
          <w:sz w:val="20"/>
          <w:szCs w:val="20"/>
        </w:rPr>
      </w:pPr>
      <w:r w:rsidRPr="005D1333">
        <w:rPr>
          <w:rFonts w:ascii="Arial" w:hAnsi="Arial" w:cs="Arial"/>
          <w:sz w:val="20"/>
          <w:szCs w:val="20"/>
        </w:rPr>
        <w:t xml:space="preserve">Overall, the AEFI is divided into 4 monitoring period, namely the initial 15 minutes during hospital observation, 15 minutes – 24 hours, 24 hours – 48 hours, and 48 hours – 7 days. In the initial 15 minutes, a total of 197 participants (75%) experienced AEFI. Then, in the 15 minutes – 24 </w:t>
      </w:r>
      <w:r w:rsidR="00F12F46">
        <w:rPr>
          <w:rFonts w:ascii="Arial" w:hAnsi="Arial" w:cs="Arial"/>
          <w:sz w:val="20"/>
          <w:szCs w:val="20"/>
        </w:rPr>
        <w:t xml:space="preserve"> </w:t>
      </w:r>
      <w:r w:rsidR="00F12F46" w:rsidRPr="005D1333">
        <w:rPr>
          <w:rFonts w:ascii="Arial" w:hAnsi="Arial" w:cs="Arial"/>
          <w:sz w:val="20"/>
          <w:szCs w:val="20"/>
        </w:rPr>
        <w:t>hours monitoring, a total of 215 participants (82%) experienced an increase in AEFI from the previous monitoring. In the 24-48 hours monitoring and 48 hours – 7 days monitoring, the incidence of AEFI decreased to 133 participants (50%) and 57 participants (21%) (</w:t>
      </w:r>
      <w:r w:rsidR="00F12F46" w:rsidRPr="00F12F46">
        <w:rPr>
          <w:rFonts w:ascii="Calibri" w:hAnsi="Calibri" w:cs="Calibri"/>
          <w:sz w:val="20"/>
          <w:szCs w:val="20"/>
        </w:rPr>
        <w:t>﻿</w:t>
      </w:r>
      <w:r w:rsidR="00F12F46" w:rsidRPr="00F12F46">
        <w:rPr>
          <w:rFonts w:ascii="Arial" w:hAnsi="Arial" w:cs="Arial"/>
          <w:b/>
          <w:bCs/>
          <w:sz w:val="20"/>
          <w:szCs w:val="20"/>
        </w:rPr>
        <w:t xml:space="preserve">Supplementary </w:t>
      </w:r>
      <w:r w:rsidR="007E17ED">
        <w:rPr>
          <w:rFonts w:ascii="Arial" w:hAnsi="Arial" w:cs="Arial"/>
          <w:b/>
          <w:bCs/>
          <w:sz w:val="20"/>
          <w:szCs w:val="20"/>
        </w:rPr>
        <w:t>2</w:t>
      </w:r>
      <w:r w:rsidR="00F12F46" w:rsidRPr="005D1333">
        <w:rPr>
          <w:rFonts w:ascii="Arial" w:hAnsi="Arial" w:cs="Arial"/>
          <w:sz w:val="20"/>
          <w:szCs w:val="20"/>
        </w:rPr>
        <w:t>).</w:t>
      </w:r>
    </w:p>
    <w:p w14:paraId="0AEB70CA" w14:textId="77777777" w:rsidR="005D1333" w:rsidRDefault="00F12F46" w:rsidP="00F12F46">
      <w:pPr>
        <w:pStyle w:val="NormalWeb"/>
        <w:snapToGrid w:val="0"/>
        <w:spacing w:before="0" w:beforeAutospacing="0" w:after="0" w:afterAutospacing="0" w:line="334" w:lineRule="auto"/>
        <w:ind w:left="142" w:firstLine="425"/>
        <w:jc w:val="both"/>
        <w:rPr>
          <w:rFonts w:ascii="Arial" w:hAnsi="Arial" w:cs="Arial"/>
          <w:color w:val="0E101A"/>
          <w:sz w:val="20"/>
          <w:szCs w:val="20"/>
          <w:lang w:val="en-US"/>
        </w:rPr>
      </w:pPr>
      <w:r w:rsidRPr="006C2554">
        <w:rPr>
          <w:rFonts w:ascii="Arial" w:hAnsi="Arial" w:cs="Arial"/>
          <w:b/>
          <w:bCs/>
          <w:color w:val="0E101A"/>
          <w:sz w:val="20"/>
          <w:szCs w:val="20"/>
          <w:lang w:val="en-US"/>
        </w:rPr>
        <w:t>Table 2</w:t>
      </w:r>
      <w:r w:rsidRPr="006C2554">
        <w:rPr>
          <w:rFonts w:ascii="Arial" w:hAnsi="Arial" w:cs="Arial"/>
          <w:color w:val="0E101A"/>
          <w:sz w:val="20"/>
          <w:szCs w:val="20"/>
          <w:lang w:val="en-US"/>
        </w:rPr>
        <w:t xml:space="preserve"> shows that in the initial 15 minutes after vaccination, participants reported 3 main complaints, namely 130 participants (39.5%) experienced pain at the injection site; 70 (26.8%) participants experienced fatigue, and 44 (16.9%) participants experienced myalgia with mild severity based on the Toxicity Grading Scale for Healthy Adult and Adolescent Volunteers Enrolled in Preventive Vaccine Clinical Trials issued by the Food and Drug Administration </w:t>
      </w:r>
      <w:r w:rsidRPr="006C2554">
        <w:rPr>
          <w:rFonts w:ascii="Arial" w:hAnsi="Arial" w:cs="Arial"/>
          <w:b/>
          <w:bCs/>
          <w:color w:val="0E101A"/>
          <w:sz w:val="20"/>
          <w:szCs w:val="20"/>
          <w:lang w:val="en-US"/>
        </w:rPr>
        <w:t xml:space="preserve">(Supplementary </w:t>
      </w:r>
      <w:r w:rsidR="007E17ED">
        <w:rPr>
          <w:rFonts w:ascii="Arial" w:hAnsi="Arial" w:cs="Arial"/>
          <w:b/>
          <w:bCs/>
          <w:color w:val="0E101A"/>
          <w:sz w:val="20"/>
          <w:szCs w:val="20"/>
          <w:lang w:val="en-US"/>
        </w:rPr>
        <w:t>4</w:t>
      </w:r>
      <w:r w:rsidRPr="006C2554">
        <w:rPr>
          <w:rFonts w:ascii="Arial" w:hAnsi="Arial" w:cs="Arial"/>
          <w:b/>
          <w:bCs/>
          <w:color w:val="0E101A"/>
          <w:sz w:val="20"/>
          <w:szCs w:val="20"/>
          <w:lang w:val="en-US"/>
        </w:rPr>
        <w:t>)</w:t>
      </w:r>
      <w:r w:rsidRPr="006C2554">
        <w:rPr>
          <w:rFonts w:ascii="Arial" w:hAnsi="Arial" w:cs="Arial"/>
          <w:color w:val="0E101A"/>
          <w:sz w:val="20"/>
          <w:szCs w:val="20"/>
          <w:lang w:val="en-US"/>
        </w:rPr>
        <w:t>. At moderate severity in the initial 15 minutes, the main complaint felt by participants was fatigue with</w:t>
      </w:r>
      <w:r>
        <w:rPr>
          <w:rFonts w:ascii="Arial" w:hAnsi="Arial" w:cs="Arial"/>
          <w:color w:val="0E101A"/>
          <w:sz w:val="20"/>
          <w:szCs w:val="20"/>
          <w:lang w:val="en-US"/>
        </w:rPr>
        <w:t xml:space="preserve"> </w:t>
      </w:r>
      <w:r w:rsidRPr="006C2554">
        <w:rPr>
          <w:rFonts w:ascii="Arial" w:hAnsi="Arial" w:cs="Arial"/>
          <w:color w:val="0E101A"/>
          <w:sz w:val="20"/>
          <w:szCs w:val="20"/>
          <w:lang w:val="en-US"/>
        </w:rPr>
        <w:t xml:space="preserve">27 participants (10.3%) followed by pain at the </w:t>
      </w:r>
      <w:r>
        <w:rPr>
          <w:rFonts w:ascii="Arial" w:hAnsi="Arial" w:cs="Arial"/>
          <w:color w:val="0E101A"/>
          <w:sz w:val="20"/>
          <w:szCs w:val="20"/>
          <w:lang w:val="en-US"/>
        </w:rPr>
        <w:br w:type="column"/>
      </w:r>
      <w:r w:rsidRPr="006C2554">
        <w:rPr>
          <w:rFonts w:ascii="Arial" w:hAnsi="Arial" w:cs="Arial"/>
          <w:color w:val="0E101A"/>
          <w:sz w:val="20"/>
          <w:szCs w:val="20"/>
          <w:lang w:val="en-US"/>
        </w:rPr>
        <w:t xml:space="preserve">injection site and myalgia. At severe severity in the initial 15 minutes, there was 1 participant in each AEFI category, namely swelling/induration, headache, </w:t>
      </w:r>
      <w:proofErr w:type="gramStart"/>
      <w:r w:rsidRPr="006C2554">
        <w:rPr>
          <w:rFonts w:ascii="Arial" w:hAnsi="Arial" w:cs="Arial"/>
          <w:color w:val="0E101A"/>
          <w:sz w:val="20"/>
          <w:szCs w:val="20"/>
          <w:lang w:val="en-US"/>
        </w:rPr>
        <w:t>fatigue</w:t>
      </w:r>
      <w:proofErr w:type="gramEnd"/>
      <w:r w:rsidRPr="006C2554">
        <w:rPr>
          <w:rFonts w:ascii="Arial" w:hAnsi="Arial" w:cs="Arial"/>
          <w:color w:val="0E101A"/>
          <w:sz w:val="20"/>
          <w:szCs w:val="20"/>
          <w:lang w:val="en-US"/>
        </w:rPr>
        <w:t xml:space="preserve"> and joint pain. At 15 minutes – 24 hours of monitoring (</w:t>
      </w:r>
      <w:r w:rsidRPr="006C2554">
        <w:rPr>
          <w:rFonts w:ascii="Arial" w:hAnsi="Arial" w:cs="Arial"/>
          <w:b/>
          <w:bCs/>
          <w:color w:val="0E101A"/>
          <w:sz w:val="20"/>
          <w:szCs w:val="20"/>
          <w:lang w:val="en-US"/>
        </w:rPr>
        <w:t>Table 2</w:t>
      </w:r>
      <w:r w:rsidRPr="006C2554">
        <w:rPr>
          <w:rFonts w:ascii="Arial" w:hAnsi="Arial" w:cs="Arial"/>
          <w:color w:val="0E101A"/>
          <w:sz w:val="20"/>
          <w:szCs w:val="20"/>
          <w:lang w:val="en-US"/>
        </w:rPr>
        <w:t>), there was an increase in the incidence of AEFI with mild severity where 134 participants (51.3%) experienced pain at the injection site, 91 participants (34.9%) experienced fatigue, and 20.7% of the participants experiencing myalgia and joint pain. </w:t>
      </w:r>
      <w:r w:rsidRPr="006C2554">
        <w:rPr>
          <w:rFonts w:ascii="Arial" w:hAnsi="Arial" w:cs="Arial"/>
          <w:b/>
          <w:bCs/>
          <w:color w:val="0E101A"/>
          <w:sz w:val="20"/>
          <w:szCs w:val="20"/>
          <w:lang w:val="en-US"/>
        </w:rPr>
        <w:t xml:space="preserve">Table 3 </w:t>
      </w:r>
      <w:r w:rsidRPr="006C2554">
        <w:rPr>
          <w:rFonts w:ascii="Arial" w:hAnsi="Arial" w:cs="Arial"/>
          <w:color w:val="0E101A"/>
          <w:sz w:val="20"/>
          <w:szCs w:val="20"/>
          <w:lang w:val="en-US"/>
        </w:rPr>
        <w:t xml:space="preserve">shows the incidence of AEFI at 24 hours – 48 hours and 48 hours – 7 days of monitoring. In 24 hours - 48 hours of monitoring, there was a decrease in the incidence of AEFI from 134 participants (51.3%) to 72 participants (27.6%) experiencing pain at the injection site. Then, participants experiencing fatigue with mild severity decreased from 91 participants (34.9%) to 49 participants (18.8%). At moderate severity, there was a decrease from 28 participants (10.7%) to </w:t>
      </w:r>
      <w:proofErr w:type="gramStart"/>
      <w:r w:rsidRPr="006C2554">
        <w:rPr>
          <w:rFonts w:ascii="Arial" w:hAnsi="Arial" w:cs="Arial"/>
          <w:color w:val="0E101A"/>
          <w:sz w:val="20"/>
          <w:szCs w:val="20"/>
          <w:lang w:val="en-US"/>
        </w:rPr>
        <w:t xml:space="preserve">10 </w:t>
      </w:r>
      <w:r>
        <w:rPr>
          <w:rFonts w:ascii="Arial" w:hAnsi="Arial" w:cs="Arial"/>
          <w:color w:val="0E101A"/>
          <w:sz w:val="20"/>
          <w:szCs w:val="20"/>
          <w:lang w:val="en-US"/>
        </w:rPr>
        <w:t xml:space="preserve"> </w:t>
      </w:r>
      <w:r w:rsidRPr="006C2554">
        <w:rPr>
          <w:rFonts w:ascii="Arial" w:hAnsi="Arial" w:cs="Arial"/>
          <w:color w:val="0E101A"/>
          <w:sz w:val="20"/>
          <w:szCs w:val="20"/>
          <w:lang w:val="en-US"/>
        </w:rPr>
        <w:t>participants</w:t>
      </w:r>
      <w:proofErr w:type="gramEnd"/>
      <w:r w:rsidRPr="006C2554">
        <w:rPr>
          <w:rFonts w:ascii="Arial" w:hAnsi="Arial" w:cs="Arial"/>
          <w:color w:val="0E101A"/>
          <w:sz w:val="20"/>
          <w:szCs w:val="20"/>
          <w:lang w:val="en-US"/>
        </w:rPr>
        <w:t xml:space="preserve"> (3.8%). On monitoring 48 hours – 7 days</w:t>
      </w:r>
      <w:r>
        <w:rPr>
          <w:rFonts w:ascii="Arial" w:hAnsi="Arial" w:cs="Arial"/>
          <w:color w:val="0E101A"/>
          <w:sz w:val="20"/>
          <w:szCs w:val="20"/>
          <w:lang w:val="en-US"/>
        </w:rPr>
        <w:t xml:space="preserve"> </w:t>
      </w:r>
      <w:r w:rsidRPr="006C2554">
        <w:rPr>
          <w:rFonts w:ascii="Arial" w:hAnsi="Arial" w:cs="Arial"/>
          <w:color w:val="0E101A"/>
          <w:sz w:val="20"/>
          <w:szCs w:val="20"/>
          <w:lang w:val="en-US"/>
        </w:rPr>
        <w:t>(</w:t>
      </w:r>
      <w:r w:rsidRPr="006C2554">
        <w:rPr>
          <w:rFonts w:ascii="Arial" w:hAnsi="Arial" w:cs="Arial"/>
          <w:b/>
          <w:bCs/>
          <w:color w:val="0E101A"/>
          <w:sz w:val="20"/>
          <w:szCs w:val="20"/>
          <w:lang w:val="en-US"/>
        </w:rPr>
        <w:t>Table 3</w:t>
      </w:r>
      <w:r w:rsidRPr="006C2554">
        <w:rPr>
          <w:rFonts w:ascii="Arial" w:hAnsi="Arial" w:cs="Arial"/>
          <w:color w:val="0E101A"/>
          <w:sz w:val="20"/>
          <w:szCs w:val="20"/>
          <w:lang w:val="en-US"/>
        </w:rPr>
        <w:t xml:space="preserve">), there was no longer any AEFI at the injection site. The main complaints during monitoring for 48 hours – 7 days were headache, </w:t>
      </w:r>
      <w:proofErr w:type="gramStart"/>
      <w:r w:rsidRPr="006C2554">
        <w:rPr>
          <w:rFonts w:ascii="Arial" w:hAnsi="Arial" w:cs="Arial"/>
          <w:color w:val="0E101A"/>
          <w:sz w:val="20"/>
          <w:szCs w:val="20"/>
          <w:lang w:val="en-US"/>
        </w:rPr>
        <w:t>fatigue</w:t>
      </w:r>
      <w:proofErr w:type="gramEnd"/>
      <w:r w:rsidRPr="006C2554">
        <w:rPr>
          <w:rFonts w:ascii="Arial" w:hAnsi="Arial" w:cs="Arial"/>
          <w:color w:val="0E101A"/>
          <w:sz w:val="20"/>
          <w:szCs w:val="20"/>
          <w:lang w:val="en-US"/>
        </w:rPr>
        <w:t xml:space="preserve"> and joint pain. The detailed information </w:t>
      </w:r>
      <w:proofErr w:type="gramStart"/>
      <w:r w:rsidRPr="006C2554">
        <w:rPr>
          <w:rFonts w:ascii="Arial" w:hAnsi="Arial" w:cs="Arial"/>
          <w:color w:val="0E101A"/>
          <w:sz w:val="20"/>
          <w:szCs w:val="20"/>
          <w:lang w:val="en-US"/>
        </w:rPr>
        <w:t xml:space="preserve">is </w:t>
      </w:r>
      <w:r>
        <w:rPr>
          <w:rFonts w:ascii="Arial" w:hAnsi="Arial" w:cs="Arial"/>
          <w:color w:val="0E101A"/>
          <w:sz w:val="20"/>
          <w:szCs w:val="20"/>
          <w:lang w:val="en-US"/>
        </w:rPr>
        <w:t xml:space="preserve"> </w:t>
      </w:r>
      <w:r w:rsidRPr="006C2554">
        <w:rPr>
          <w:rFonts w:ascii="Arial" w:hAnsi="Arial" w:cs="Arial"/>
          <w:color w:val="0E101A"/>
          <w:sz w:val="20"/>
          <w:szCs w:val="20"/>
          <w:lang w:val="en-US"/>
        </w:rPr>
        <w:t>presented</w:t>
      </w:r>
      <w:proofErr w:type="gramEnd"/>
      <w:r w:rsidRPr="006C2554">
        <w:rPr>
          <w:rFonts w:ascii="Arial" w:hAnsi="Arial" w:cs="Arial"/>
          <w:color w:val="0E101A"/>
          <w:sz w:val="20"/>
          <w:szCs w:val="20"/>
          <w:lang w:val="en-US"/>
        </w:rPr>
        <w:t xml:space="preserve"> in the following ta</w:t>
      </w:r>
      <w:r w:rsidR="007E17ED">
        <w:rPr>
          <w:rFonts w:ascii="Arial" w:hAnsi="Arial" w:cs="Arial"/>
          <w:color w:val="0E101A"/>
          <w:sz w:val="20"/>
          <w:szCs w:val="20"/>
          <w:lang w:val="en-US"/>
        </w:rPr>
        <w:t>ble.</w:t>
      </w:r>
    </w:p>
    <w:p w14:paraId="713586A9" w14:textId="77777777" w:rsidR="007E17ED" w:rsidRDefault="007E17ED" w:rsidP="00F12F46">
      <w:pPr>
        <w:pStyle w:val="NormalWeb"/>
        <w:snapToGrid w:val="0"/>
        <w:spacing w:before="0" w:beforeAutospacing="0" w:after="0" w:afterAutospacing="0" w:line="334" w:lineRule="auto"/>
        <w:ind w:left="142" w:firstLine="425"/>
        <w:jc w:val="both"/>
        <w:rPr>
          <w:rFonts w:ascii="Arial" w:hAnsi="Arial" w:cs="Arial"/>
          <w:color w:val="0E101A"/>
          <w:sz w:val="20"/>
          <w:szCs w:val="20"/>
          <w:lang w:val="en-US"/>
        </w:rPr>
        <w:sectPr w:rsidR="007E17ED" w:rsidSect="005D1333">
          <w:type w:val="continuous"/>
          <w:pgSz w:w="11906" w:h="16838" w:code="9"/>
          <w:pgMar w:top="1418" w:right="907" w:bottom="868" w:left="964" w:header="709" w:footer="709" w:gutter="0"/>
          <w:cols w:num="2" w:space="708"/>
          <w:titlePg/>
          <w:docGrid w:linePitch="360"/>
        </w:sectPr>
      </w:pPr>
    </w:p>
    <w:p w14:paraId="63E7693A" w14:textId="77777777" w:rsidR="007E17ED" w:rsidRDefault="007E17ED" w:rsidP="007E17ED">
      <w:pPr>
        <w:tabs>
          <w:tab w:val="left" w:pos="567"/>
        </w:tabs>
        <w:spacing w:after="0" w:line="334" w:lineRule="auto"/>
        <w:contextualSpacing/>
        <w:jc w:val="both"/>
        <w:rPr>
          <w:rFonts w:ascii="Arial" w:hAnsi="Arial" w:cs="Arial"/>
          <w:b/>
          <w:bCs/>
          <w:sz w:val="16"/>
          <w:szCs w:val="16"/>
        </w:rPr>
      </w:pPr>
    </w:p>
    <w:p w14:paraId="07E62CE3" w14:textId="467E5AC1" w:rsidR="007E17ED" w:rsidRPr="006C2554" w:rsidRDefault="007E17ED" w:rsidP="007E17ED">
      <w:pPr>
        <w:tabs>
          <w:tab w:val="left" w:pos="567"/>
        </w:tabs>
        <w:spacing w:after="0" w:line="334" w:lineRule="auto"/>
        <w:contextualSpacing/>
        <w:jc w:val="both"/>
        <w:rPr>
          <w:rFonts w:ascii="Arial" w:hAnsi="Arial" w:cs="Arial"/>
          <w:sz w:val="16"/>
          <w:szCs w:val="16"/>
        </w:rPr>
      </w:pPr>
      <w:r w:rsidRPr="006C2554">
        <w:rPr>
          <w:rFonts w:ascii="Arial" w:hAnsi="Arial" w:cs="Arial"/>
          <w:b/>
          <w:bCs/>
          <w:sz w:val="16"/>
          <w:szCs w:val="16"/>
        </w:rPr>
        <w:t xml:space="preserve">Table </w:t>
      </w:r>
      <w:r>
        <w:rPr>
          <w:rFonts w:ascii="Arial" w:hAnsi="Arial" w:cs="Arial"/>
          <w:b/>
          <w:bCs/>
          <w:sz w:val="16"/>
          <w:szCs w:val="16"/>
        </w:rPr>
        <w:t>2</w:t>
      </w:r>
      <w:r w:rsidRPr="006C2554">
        <w:rPr>
          <w:rFonts w:ascii="Arial" w:hAnsi="Arial" w:cs="Arial"/>
          <w:b/>
          <w:bCs/>
          <w:sz w:val="16"/>
          <w:szCs w:val="16"/>
        </w:rPr>
        <w:t>.</w:t>
      </w:r>
      <w:r w:rsidRPr="006C2554">
        <w:rPr>
          <w:rFonts w:ascii="Arial" w:hAnsi="Arial" w:cs="Arial"/>
          <w:sz w:val="16"/>
          <w:szCs w:val="16"/>
        </w:rPr>
        <w:t xml:space="preserve"> AEFIs and the severity levels in the initial 15 minutes observation at the hospital </w:t>
      </w:r>
      <w:r w:rsidRPr="006C2554">
        <w:rPr>
          <w:rFonts w:ascii="Arial" w:hAnsi="Arial" w:cs="Arial"/>
          <w:color w:val="000000"/>
          <w:sz w:val="16"/>
          <w:szCs w:val="16"/>
        </w:rPr>
        <w:t>and 15 minutes – 24 hours</w:t>
      </w:r>
    </w:p>
    <w:tbl>
      <w:tblPr>
        <w:tblW w:w="10658" w:type="dxa"/>
        <w:jc w:val="center"/>
        <w:tblBorders>
          <w:top w:val="single" w:sz="4" w:space="0" w:color="auto"/>
          <w:bottom w:val="single" w:sz="4" w:space="0" w:color="auto"/>
        </w:tblBorders>
        <w:tblLook w:val="04A0" w:firstRow="1" w:lastRow="0" w:firstColumn="1" w:lastColumn="0" w:noHBand="0" w:noVBand="1"/>
      </w:tblPr>
      <w:tblGrid>
        <w:gridCol w:w="2607"/>
        <w:gridCol w:w="483"/>
        <w:gridCol w:w="689"/>
        <w:gridCol w:w="394"/>
        <w:gridCol w:w="688"/>
        <w:gridCol w:w="314"/>
        <w:gridCol w:w="581"/>
        <w:gridCol w:w="314"/>
        <w:gridCol w:w="581"/>
        <w:gridCol w:w="483"/>
        <w:gridCol w:w="670"/>
        <w:gridCol w:w="394"/>
        <w:gridCol w:w="670"/>
        <w:gridCol w:w="314"/>
        <w:gridCol w:w="581"/>
        <w:gridCol w:w="314"/>
        <w:gridCol w:w="581"/>
      </w:tblGrid>
      <w:tr w:rsidR="007E17ED" w:rsidRPr="006C2554" w14:paraId="4CD32EFE" w14:textId="77777777" w:rsidTr="00A43F44">
        <w:trPr>
          <w:trHeight w:val="273"/>
          <w:jc w:val="center"/>
        </w:trPr>
        <w:tc>
          <w:tcPr>
            <w:tcW w:w="2607" w:type="dxa"/>
            <w:vMerge w:val="restart"/>
            <w:tcBorders>
              <w:top w:val="single" w:sz="4" w:space="0" w:color="auto"/>
              <w:bottom w:val="single" w:sz="4" w:space="0" w:color="auto"/>
            </w:tcBorders>
            <w:shd w:val="clear" w:color="auto" w:fill="auto"/>
            <w:noWrap/>
            <w:vAlign w:val="center"/>
            <w:hideMark/>
          </w:tcPr>
          <w:p w14:paraId="2454B0DF"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AEFI</w:t>
            </w:r>
          </w:p>
        </w:tc>
        <w:tc>
          <w:tcPr>
            <w:tcW w:w="4044" w:type="dxa"/>
            <w:gridSpan w:val="8"/>
            <w:tcBorders>
              <w:top w:val="single" w:sz="4" w:space="0" w:color="auto"/>
              <w:bottom w:val="single" w:sz="4" w:space="0" w:color="auto"/>
            </w:tcBorders>
            <w:shd w:val="clear" w:color="auto" w:fill="auto"/>
            <w:noWrap/>
            <w:vAlign w:val="center"/>
            <w:hideMark/>
          </w:tcPr>
          <w:p w14:paraId="60121B86"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15 minutes</w:t>
            </w:r>
          </w:p>
        </w:tc>
        <w:tc>
          <w:tcPr>
            <w:tcW w:w="4007" w:type="dxa"/>
            <w:gridSpan w:val="8"/>
            <w:tcBorders>
              <w:top w:val="single" w:sz="4" w:space="0" w:color="auto"/>
              <w:bottom w:val="single" w:sz="4" w:space="0" w:color="auto"/>
            </w:tcBorders>
            <w:shd w:val="clear" w:color="auto" w:fill="auto"/>
            <w:noWrap/>
            <w:vAlign w:val="center"/>
            <w:hideMark/>
          </w:tcPr>
          <w:p w14:paraId="31B6CC95"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 xml:space="preserve">15 minutes – 24 hours </w:t>
            </w:r>
          </w:p>
        </w:tc>
      </w:tr>
      <w:tr w:rsidR="007E17ED" w:rsidRPr="006C2554" w14:paraId="018DEAD9" w14:textId="77777777" w:rsidTr="00A43F44">
        <w:trPr>
          <w:trHeight w:val="273"/>
          <w:jc w:val="center"/>
        </w:trPr>
        <w:tc>
          <w:tcPr>
            <w:tcW w:w="2607" w:type="dxa"/>
            <w:vMerge/>
            <w:tcBorders>
              <w:top w:val="single" w:sz="4" w:space="0" w:color="auto"/>
              <w:bottom w:val="single" w:sz="4" w:space="0" w:color="auto"/>
            </w:tcBorders>
            <w:vAlign w:val="center"/>
            <w:hideMark/>
          </w:tcPr>
          <w:p w14:paraId="5CBEAF52" w14:textId="77777777" w:rsidR="007E17ED" w:rsidRPr="006C2554" w:rsidRDefault="007E17ED" w:rsidP="00A43F44">
            <w:pPr>
              <w:spacing w:after="0" w:line="334" w:lineRule="auto"/>
              <w:contextualSpacing/>
              <w:rPr>
                <w:rFonts w:ascii="Arial" w:hAnsi="Arial" w:cs="Arial"/>
                <w:b/>
                <w:bCs/>
                <w:sz w:val="16"/>
                <w:szCs w:val="16"/>
              </w:rPr>
            </w:pPr>
          </w:p>
        </w:tc>
        <w:tc>
          <w:tcPr>
            <w:tcW w:w="1172" w:type="dxa"/>
            <w:gridSpan w:val="2"/>
            <w:tcBorders>
              <w:top w:val="single" w:sz="4" w:space="0" w:color="auto"/>
              <w:bottom w:val="single" w:sz="4" w:space="0" w:color="auto"/>
            </w:tcBorders>
            <w:shd w:val="clear" w:color="auto" w:fill="auto"/>
            <w:noWrap/>
            <w:vAlign w:val="center"/>
            <w:hideMark/>
          </w:tcPr>
          <w:p w14:paraId="1A58CFF5"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Mild</w:t>
            </w:r>
          </w:p>
        </w:tc>
        <w:tc>
          <w:tcPr>
            <w:tcW w:w="1082" w:type="dxa"/>
            <w:gridSpan w:val="2"/>
            <w:tcBorders>
              <w:top w:val="single" w:sz="4" w:space="0" w:color="auto"/>
              <w:bottom w:val="single" w:sz="4" w:space="0" w:color="auto"/>
            </w:tcBorders>
            <w:shd w:val="clear" w:color="auto" w:fill="auto"/>
            <w:noWrap/>
            <w:vAlign w:val="center"/>
            <w:hideMark/>
          </w:tcPr>
          <w:p w14:paraId="5C2EA472"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Moderate</w:t>
            </w:r>
          </w:p>
        </w:tc>
        <w:tc>
          <w:tcPr>
            <w:tcW w:w="895" w:type="dxa"/>
            <w:gridSpan w:val="2"/>
            <w:tcBorders>
              <w:top w:val="single" w:sz="4" w:space="0" w:color="auto"/>
              <w:bottom w:val="single" w:sz="4" w:space="0" w:color="auto"/>
            </w:tcBorders>
            <w:shd w:val="clear" w:color="auto" w:fill="auto"/>
            <w:noWrap/>
            <w:vAlign w:val="center"/>
            <w:hideMark/>
          </w:tcPr>
          <w:p w14:paraId="04679D55"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Severe</w:t>
            </w:r>
          </w:p>
        </w:tc>
        <w:tc>
          <w:tcPr>
            <w:tcW w:w="895" w:type="dxa"/>
            <w:gridSpan w:val="2"/>
            <w:tcBorders>
              <w:top w:val="single" w:sz="4" w:space="0" w:color="auto"/>
              <w:bottom w:val="single" w:sz="4" w:space="0" w:color="auto"/>
            </w:tcBorders>
            <w:shd w:val="clear" w:color="auto" w:fill="auto"/>
            <w:noWrap/>
            <w:vAlign w:val="center"/>
            <w:hideMark/>
          </w:tcPr>
          <w:p w14:paraId="160B7948"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PLT</w:t>
            </w:r>
          </w:p>
        </w:tc>
        <w:tc>
          <w:tcPr>
            <w:tcW w:w="1153" w:type="dxa"/>
            <w:gridSpan w:val="2"/>
            <w:tcBorders>
              <w:top w:val="single" w:sz="4" w:space="0" w:color="auto"/>
              <w:bottom w:val="single" w:sz="4" w:space="0" w:color="auto"/>
            </w:tcBorders>
            <w:shd w:val="clear" w:color="auto" w:fill="auto"/>
            <w:noWrap/>
            <w:vAlign w:val="center"/>
            <w:hideMark/>
          </w:tcPr>
          <w:p w14:paraId="513889DC"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Mild</w:t>
            </w:r>
          </w:p>
        </w:tc>
        <w:tc>
          <w:tcPr>
            <w:tcW w:w="1064" w:type="dxa"/>
            <w:gridSpan w:val="2"/>
            <w:tcBorders>
              <w:top w:val="single" w:sz="4" w:space="0" w:color="auto"/>
              <w:bottom w:val="single" w:sz="4" w:space="0" w:color="auto"/>
            </w:tcBorders>
            <w:shd w:val="clear" w:color="auto" w:fill="auto"/>
            <w:noWrap/>
            <w:vAlign w:val="center"/>
            <w:hideMark/>
          </w:tcPr>
          <w:p w14:paraId="010D9A70"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Moderate</w:t>
            </w:r>
          </w:p>
        </w:tc>
        <w:tc>
          <w:tcPr>
            <w:tcW w:w="895" w:type="dxa"/>
            <w:gridSpan w:val="2"/>
            <w:tcBorders>
              <w:top w:val="single" w:sz="4" w:space="0" w:color="auto"/>
              <w:bottom w:val="single" w:sz="4" w:space="0" w:color="auto"/>
            </w:tcBorders>
            <w:shd w:val="clear" w:color="auto" w:fill="auto"/>
            <w:noWrap/>
            <w:vAlign w:val="center"/>
            <w:hideMark/>
          </w:tcPr>
          <w:p w14:paraId="01EA622E"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Severe</w:t>
            </w:r>
          </w:p>
        </w:tc>
        <w:tc>
          <w:tcPr>
            <w:tcW w:w="895" w:type="dxa"/>
            <w:gridSpan w:val="2"/>
            <w:tcBorders>
              <w:top w:val="single" w:sz="4" w:space="0" w:color="auto"/>
              <w:bottom w:val="single" w:sz="4" w:space="0" w:color="auto"/>
            </w:tcBorders>
            <w:shd w:val="clear" w:color="auto" w:fill="auto"/>
            <w:noWrap/>
            <w:vAlign w:val="center"/>
            <w:hideMark/>
          </w:tcPr>
          <w:p w14:paraId="17C527A0" w14:textId="77777777" w:rsidR="007E17ED" w:rsidRPr="006C2554" w:rsidRDefault="007E17ED" w:rsidP="00A43F44">
            <w:pPr>
              <w:spacing w:after="0" w:line="334" w:lineRule="auto"/>
              <w:contextualSpacing/>
              <w:jc w:val="center"/>
              <w:rPr>
                <w:rFonts w:ascii="Arial" w:hAnsi="Arial" w:cs="Arial"/>
                <w:b/>
                <w:bCs/>
                <w:sz w:val="16"/>
                <w:szCs w:val="16"/>
              </w:rPr>
            </w:pPr>
            <w:r w:rsidRPr="006C2554">
              <w:rPr>
                <w:rFonts w:ascii="Arial" w:hAnsi="Arial" w:cs="Arial"/>
                <w:b/>
                <w:bCs/>
                <w:sz w:val="16"/>
                <w:szCs w:val="16"/>
              </w:rPr>
              <w:t>PLT</w:t>
            </w:r>
          </w:p>
        </w:tc>
      </w:tr>
      <w:tr w:rsidR="007E17ED" w:rsidRPr="006C2554" w14:paraId="08DC4F6E" w14:textId="77777777" w:rsidTr="00A43F44">
        <w:trPr>
          <w:trHeight w:val="273"/>
          <w:jc w:val="center"/>
        </w:trPr>
        <w:tc>
          <w:tcPr>
            <w:tcW w:w="2607" w:type="dxa"/>
            <w:vMerge/>
            <w:tcBorders>
              <w:top w:val="single" w:sz="4" w:space="0" w:color="auto"/>
              <w:bottom w:val="single" w:sz="4" w:space="0" w:color="auto"/>
            </w:tcBorders>
            <w:vAlign w:val="center"/>
            <w:hideMark/>
          </w:tcPr>
          <w:p w14:paraId="3C773720" w14:textId="77777777" w:rsidR="007E17ED" w:rsidRPr="006C2554" w:rsidRDefault="007E17ED" w:rsidP="00A43F44">
            <w:pPr>
              <w:spacing w:line="334" w:lineRule="auto"/>
              <w:contextualSpacing/>
              <w:rPr>
                <w:rFonts w:ascii="Arial" w:hAnsi="Arial" w:cs="Arial"/>
                <w:b/>
                <w:bCs/>
                <w:sz w:val="16"/>
                <w:szCs w:val="16"/>
              </w:rPr>
            </w:pPr>
          </w:p>
        </w:tc>
        <w:tc>
          <w:tcPr>
            <w:tcW w:w="483" w:type="dxa"/>
            <w:tcBorders>
              <w:top w:val="single" w:sz="4" w:space="0" w:color="auto"/>
              <w:bottom w:val="single" w:sz="4" w:space="0" w:color="auto"/>
            </w:tcBorders>
            <w:shd w:val="clear" w:color="auto" w:fill="auto"/>
            <w:noWrap/>
            <w:vAlign w:val="center"/>
            <w:hideMark/>
          </w:tcPr>
          <w:p w14:paraId="448A8FDE"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89" w:type="dxa"/>
            <w:tcBorders>
              <w:top w:val="single" w:sz="4" w:space="0" w:color="auto"/>
              <w:bottom w:val="single" w:sz="4" w:space="0" w:color="auto"/>
            </w:tcBorders>
            <w:shd w:val="clear" w:color="auto" w:fill="auto"/>
            <w:noWrap/>
            <w:vAlign w:val="center"/>
            <w:hideMark/>
          </w:tcPr>
          <w:p w14:paraId="12BE1F0D"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94" w:type="dxa"/>
            <w:tcBorders>
              <w:top w:val="single" w:sz="4" w:space="0" w:color="auto"/>
              <w:bottom w:val="single" w:sz="4" w:space="0" w:color="auto"/>
            </w:tcBorders>
            <w:shd w:val="clear" w:color="auto" w:fill="auto"/>
            <w:noWrap/>
            <w:vAlign w:val="center"/>
            <w:hideMark/>
          </w:tcPr>
          <w:p w14:paraId="22BA02A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688" w:type="dxa"/>
            <w:tcBorders>
              <w:top w:val="single" w:sz="4" w:space="0" w:color="auto"/>
              <w:bottom w:val="single" w:sz="4" w:space="0" w:color="auto"/>
            </w:tcBorders>
            <w:shd w:val="clear" w:color="auto" w:fill="auto"/>
            <w:noWrap/>
            <w:vAlign w:val="center"/>
            <w:hideMark/>
          </w:tcPr>
          <w:p w14:paraId="55056F3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4C88EFB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581" w:type="dxa"/>
            <w:tcBorders>
              <w:top w:val="single" w:sz="4" w:space="0" w:color="auto"/>
              <w:bottom w:val="single" w:sz="4" w:space="0" w:color="auto"/>
            </w:tcBorders>
            <w:shd w:val="clear" w:color="auto" w:fill="auto"/>
            <w:noWrap/>
            <w:vAlign w:val="center"/>
            <w:hideMark/>
          </w:tcPr>
          <w:p w14:paraId="3C62268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1C6D3FC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581" w:type="dxa"/>
            <w:tcBorders>
              <w:top w:val="single" w:sz="4" w:space="0" w:color="auto"/>
              <w:bottom w:val="single" w:sz="4" w:space="0" w:color="auto"/>
            </w:tcBorders>
            <w:shd w:val="clear" w:color="auto" w:fill="auto"/>
            <w:noWrap/>
            <w:vAlign w:val="center"/>
            <w:hideMark/>
          </w:tcPr>
          <w:p w14:paraId="2635296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483" w:type="dxa"/>
            <w:tcBorders>
              <w:top w:val="single" w:sz="4" w:space="0" w:color="auto"/>
              <w:bottom w:val="single" w:sz="4" w:space="0" w:color="auto"/>
            </w:tcBorders>
            <w:shd w:val="clear" w:color="auto" w:fill="auto"/>
            <w:noWrap/>
            <w:vAlign w:val="center"/>
            <w:hideMark/>
          </w:tcPr>
          <w:p w14:paraId="608272B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670" w:type="dxa"/>
            <w:tcBorders>
              <w:top w:val="single" w:sz="4" w:space="0" w:color="auto"/>
              <w:bottom w:val="single" w:sz="4" w:space="0" w:color="auto"/>
            </w:tcBorders>
            <w:shd w:val="clear" w:color="auto" w:fill="auto"/>
            <w:noWrap/>
            <w:vAlign w:val="center"/>
            <w:hideMark/>
          </w:tcPr>
          <w:p w14:paraId="0778B57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94" w:type="dxa"/>
            <w:tcBorders>
              <w:top w:val="single" w:sz="4" w:space="0" w:color="auto"/>
              <w:bottom w:val="single" w:sz="4" w:space="0" w:color="auto"/>
            </w:tcBorders>
            <w:shd w:val="clear" w:color="auto" w:fill="auto"/>
            <w:noWrap/>
            <w:vAlign w:val="center"/>
            <w:hideMark/>
          </w:tcPr>
          <w:p w14:paraId="3CD5A8C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670" w:type="dxa"/>
            <w:tcBorders>
              <w:top w:val="single" w:sz="4" w:space="0" w:color="auto"/>
              <w:bottom w:val="single" w:sz="4" w:space="0" w:color="auto"/>
            </w:tcBorders>
            <w:shd w:val="clear" w:color="auto" w:fill="auto"/>
            <w:noWrap/>
            <w:vAlign w:val="center"/>
            <w:hideMark/>
          </w:tcPr>
          <w:p w14:paraId="6BB80C3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0EB98FD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581" w:type="dxa"/>
            <w:tcBorders>
              <w:top w:val="single" w:sz="4" w:space="0" w:color="auto"/>
              <w:bottom w:val="single" w:sz="4" w:space="0" w:color="auto"/>
            </w:tcBorders>
            <w:shd w:val="clear" w:color="auto" w:fill="auto"/>
            <w:noWrap/>
            <w:vAlign w:val="center"/>
            <w:hideMark/>
          </w:tcPr>
          <w:p w14:paraId="7FD020A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6E8219B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n</w:t>
            </w:r>
          </w:p>
        </w:tc>
        <w:tc>
          <w:tcPr>
            <w:tcW w:w="581" w:type="dxa"/>
            <w:tcBorders>
              <w:top w:val="single" w:sz="4" w:space="0" w:color="auto"/>
              <w:bottom w:val="single" w:sz="4" w:space="0" w:color="auto"/>
            </w:tcBorders>
            <w:shd w:val="clear" w:color="auto" w:fill="auto"/>
            <w:noWrap/>
            <w:vAlign w:val="center"/>
            <w:hideMark/>
          </w:tcPr>
          <w:p w14:paraId="1022246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b/>
                <w:bCs/>
                <w:sz w:val="16"/>
                <w:szCs w:val="16"/>
              </w:rPr>
              <w:t>%</w:t>
            </w:r>
          </w:p>
        </w:tc>
      </w:tr>
      <w:tr w:rsidR="007E17ED" w:rsidRPr="006C2554" w14:paraId="6E7A1E7D" w14:textId="77777777" w:rsidTr="00A43F44">
        <w:trPr>
          <w:trHeight w:val="273"/>
          <w:jc w:val="center"/>
        </w:trPr>
        <w:tc>
          <w:tcPr>
            <w:tcW w:w="2607" w:type="dxa"/>
            <w:tcBorders>
              <w:top w:val="single" w:sz="4" w:space="0" w:color="auto"/>
            </w:tcBorders>
            <w:shd w:val="clear" w:color="auto" w:fill="auto"/>
            <w:noWrap/>
            <w:vAlign w:val="center"/>
            <w:hideMark/>
          </w:tcPr>
          <w:p w14:paraId="06DFDCAC"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xml:space="preserve">Local Adverse Events </w:t>
            </w:r>
          </w:p>
        </w:tc>
        <w:tc>
          <w:tcPr>
            <w:tcW w:w="483" w:type="dxa"/>
            <w:tcBorders>
              <w:top w:val="single" w:sz="4" w:space="0" w:color="auto"/>
            </w:tcBorders>
            <w:shd w:val="clear" w:color="auto" w:fill="auto"/>
            <w:noWrap/>
            <w:vAlign w:val="bottom"/>
            <w:hideMark/>
          </w:tcPr>
          <w:p w14:paraId="55215E51"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89" w:type="dxa"/>
            <w:tcBorders>
              <w:top w:val="single" w:sz="4" w:space="0" w:color="auto"/>
            </w:tcBorders>
            <w:shd w:val="clear" w:color="auto" w:fill="auto"/>
            <w:noWrap/>
            <w:vAlign w:val="bottom"/>
            <w:hideMark/>
          </w:tcPr>
          <w:p w14:paraId="7C2C2D3A"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94" w:type="dxa"/>
            <w:tcBorders>
              <w:top w:val="single" w:sz="4" w:space="0" w:color="auto"/>
            </w:tcBorders>
            <w:shd w:val="clear" w:color="auto" w:fill="auto"/>
            <w:noWrap/>
            <w:vAlign w:val="bottom"/>
            <w:hideMark/>
          </w:tcPr>
          <w:p w14:paraId="45D0082D"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88" w:type="dxa"/>
            <w:tcBorders>
              <w:top w:val="single" w:sz="4" w:space="0" w:color="auto"/>
            </w:tcBorders>
            <w:shd w:val="clear" w:color="auto" w:fill="auto"/>
            <w:noWrap/>
            <w:vAlign w:val="bottom"/>
            <w:hideMark/>
          </w:tcPr>
          <w:p w14:paraId="58D674CC"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364B96C5"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tcBorders>
              <w:top w:val="single" w:sz="4" w:space="0" w:color="auto"/>
            </w:tcBorders>
            <w:shd w:val="clear" w:color="auto" w:fill="auto"/>
            <w:noWrap/>
            <w:vAlign w:val="bottom"/>
            <w:hideMark/>
          </w:tcPr>
          <w:p w14:paraId="0CE3C32F"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18C39DB8"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tcBorders>
              <w:top w:val="single" w:sz="4" w:space="0" w:color="auto"/>
            </w:tcBorders>
            <w:shd w:val="clear" w:color="auto" w:fill="auto"/>
            <w:noWrap/>
            <w:vAlign w:val="bottom"/>
            <w:hideMark/>
          </w:tcPr>
          <w:p w14:paraId="238665CD"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483" w:type="dxa"/>
            <w:tcBorders>
              <w:top w:val="single" w:sz="4" w:space="0" w:color="auto"/>
            </w:tcBorders>
            <w:shd w:val="clear" w:color="auto" w:fill="auto"/>
            <w:noWrap/>
            <w:vAlign w:val="bottom"/>
            <w:hideMark/>
          </w:tcPr>
          <w:p w14:paraId="75FC27A9"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70" w:type="dxa"/>
            <w:tcBorders>
              <w:top w:val="single" w:sz="4" w:space="0" w:color="auto"/>
            </w:tcBorders>
            <w:shd w:val="clear" w:color="auto" w:fill="auto"/>
            <w:noWrap/>
            <w:vAlign w:val="bottom"/>
            <w:hideMark/>
          </w:tcPr>
          <w:p w14:paraId="658A7574"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94" w:type="dxa"/>
            <w:tcBorders>
              <w:top w:val="single" w:sz="4" w:space="0" w:color="auto"/>
            </w:tcBorders>
            <w:shd w:val="clear" w:color="auto" w:fill="auto"/>
            <w:noWrap/>
            <w:vAlign w:val="bottom"/>
            <w:hideMark/>
          </w:tcPr>
          <w:p w14:paraId="0BC8D51C"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70" w:type="dxa"/>
            <w:tcBorders>
              <w:top w:val="single" w:sz="4" w:space="0" w:color="auto"/>
            </w:tcBorders>
            <w:shd w:val="clear" w:color="auto" w:fill="auto"/>
            <w:noWrap/>
            <w:vAlign w:val="bottom"/>
            <w:hideMark/>
          </w:tcPr>
          <w:p w14:paraId="32A45137"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64CC6DBD"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tcBorders>
              <w:top w:val="single" w:sz="4" w:space="0" w:color="auto"/>
            </w:tcBorders>
            <w:shd w:val="clear" w:color="auto" w:fill="auto"/>
            <w:noWrap/>
            <w:vAlign w:val="bottom"/>
            <w:hideMark/>
          </w:tcPr>
          <w:p w14:paraId="119AE5CC"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7E6E796E"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tcBorders>
              <w:top w:val="single" w:sz="4" w:space="0" w:color="auto"/>
            </w:tcBorders>
            <w:shd w:val="clear" w:color="auto" w:fill="auto"/>
            <w:noWrap/>
            <w:vAlign w:val="bottom"/>
            <w:hideMark/>
          </w:tcPr>
          <w:p w14:paraId="6F35653F"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r>
      <w:tr w:rsidR="007E17ED" w:rsidRPr="006C2554" w14:paraId="1941D848" w14:textId="77777777" w:rsidTr="00A43F44">
        <w:trPr>
          <w:trHeight w:val="273"/>
          <w:jc w:val="center"/>
        </w:trPr>
        <w:tc>
          <w:tcPr>
            <w:tcW w:w="2607" w:type="dxa"/>
            <w:shd w:val="clear" w:color="auto" w:fill="auto"/>
            <w:noWrap/>
            <w:vAlign w:val="center"/>
            <w:hideMark/>
          </w:tcPr>
          <w:p w14:paraId="5DF0A44F"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Pain at the injection site</w:t>
            </w:r>
          </w:p>
        </w:tc>
        <w:tc>
          <w:tcPr>
            <w:tcW w:w="483" w:type="dxa"/>
            <w:shd w:val="clear" w:color="auto" w:fill="auto"/>
            <w:noWrap/>
            <w:vAlign w:val="bottom"/>
            <w:hideMark/>
          </w:tcPr>
          <w:p w14:paraId="73DC512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103</w:t>
            </w:r>
          </w:p>
        </w:tc>
        <w:tc>
          <w:tcPr>
            <w:tcW w:w="689" w:type="dxa"/>
            <w:shd w:val="clear" w:color="auto" w:fill="auto"/>
            <w:noWrap/>
            <w:vAlign w:val="bottom"/>
            <w:hideMark/>
          </w:tcPr>
          <w:p w14:paraId="66211E1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39.5%</w:t>
            </w:r>
          </w:p>
        </w:tc>
        <w:tc>
          <w:tcPr>
            <w:tcW w:w="394" w:type="dxa"/>
            <w:shd w:val="clear" w:color="auto" w:fill="auto"/>
            <w:noWrap/>
            <w:vAlign w:val="bottom"/>
            <w:hideMark/>
          </w:tcPr>
          <w:p w14:paraId="1F8BBD0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24</w:t>
            </w:r>
          </w:p>
        </w:tc>
        <w:tc>
          <w:tcPr>
            <w:tcW w:w="688" w:type="dxa"/>
            <w:shd w:val="clear" w:color="auto" w:fill="auto"/>
            <w:noWrap/>
            <w:vAlign w:val="bottom"/>
            <w:hideMark/>
          </w:tcPr>
          <w:p w14:paraId="4EDEC41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9.2%</w:t>
            </w:r>
          </w:p>
        </w:tc>
        <w:tc>
          <w:tcPr>
            <w:tcW w:w="314" w:type="dxa"/>
            <w:shd w:val="clear" w:color="auto" w:fill="auto"/>
            <w:noWrap/>
            <w:vAlign w:val="bottom"/>
            <w:hideMark/>
          </w:tcPr>
          <w:p w14:paraId="5315F32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C1D497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A97A26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63E63A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22809D8F"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134</w:t>
            </w:r>
          </w:p>
        </w:tc>
        <w:tc>
          <w:tcPr>
            <w:tcW w:w="670" w:type="dxa"/>
            <w:shd w:val="clear" w:color="auto" w:fill="auto"/>
            <w:noWrap/>
            <w:vAlign w:val="bottom"/>
            <w:hideMark/>
          </w:tcPr>
          <w:p w14:paraId="3B2945C6"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51.3%</w:t>
            </w:r>
          </w:p>
        </w:tc>
        <w:tc>
          <w:tcPr>
            <w:tcW w:w="394" w:type="dxa"/>
            <w:shd w:val="clear" w:color="auto" w:fill="auto"/>
            <w:noWrap/>
            <w:vAlign w:val="bottom"/>
            <w:hideMark/>
          </w:tcPr>
          <w:p w14:paraId="39669A11"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25</w:t>
            </w:r>
          </w:p>
        </w:tc>
        <w:tc>
          <w:tcPr>
            <w:tcW w:w="670" w:type="dxa"/>
            <w:shd w:val="clear" w:color="auto" w:fill="auto"/>
            <w:noWrap/>
            <w:vAlign w:val="bottom"/>
            <w:hideMark/>
          </w:tcPr>
          <w:p w14:paraId="30314F8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10%</w:t>
            </w:r>
          </w:p>
        </w:tc>
        <w:tc>
          <w:tcPr>
            <w:tcW w:w="314" w:type="dxa"/>
            <w:shd w:val="clear" w:color="auto" w:fill="auto"/>
            <w:noWrap/>
            <w:vAlign w:val="bottom"/>
            <w:hideMark/>
          </w:tcPr>
          <w:p w14:paraId="6EC591BC"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C74DE5F"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A83ACC5"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887B544"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123CCB81" w14:textId="77777777" w:rsidTr="00A43F44">
        <w:trPr>
          <w:trHeight w:val="273"/>
          <w:jc w:val="center"/>
        </w:trPr>
        <w:tc>
          <w:tcPr>
            <w:tcW w:w="2607" w:type="dxa"/>
            <w:shd w:val="clear" w:color="auto" w:fill="auto"/>
            <w:noWrap/>
            <w:vAlign w:val="center"/>
            <w:hideMark/>
          </w:tcPr>
          <w:p w14:paraId="0E130F30"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Redness/Erythema</w:t>
            </w:r>
          </w:p>
        </w:tc>
        <w:tc>
          <w:tcPr>
            <w:tcW w:w="483" w:type="dxa"/>
            <w:shd w:val="clear" w:color="auto" w:fill="auto"/>
            <w:noWrap/>
            <w:vAlign w:val="bottom"/>
            <w:hideMark/>
          </w:tcPr>
          <w:p w14:paraId="0C3A4D6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89" w:type="dxa"/>
            <w:shd w:val="clear" w:color="auto" w:fill="auto"/>
            <w:noWrap/>
            <w:vAlign w:val="bottom"/>
            <w:hideMark/>
          </w:tcPr>
          <w:p w14:paraId="33B90FC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94" w:type="dxa"/>
            <w:shd w:val="clear" w:color="auto" w:fill="auto"/>
            <w:noWrap/>
            <w:vAlign w:val="bottom"/>
            <w:hideMark/>
          </w:tcPr>
          <w:p w14:paraId="5D9F6CE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4821E6C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79F731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B0E99B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A2CA87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E48085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6C75D2E4"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17</w:t>
            </w:r>
          </w:p>
        </w:tc>
        <w:tc>
          <w:tcPr>
            <w:tcW w:w="670" w:type="dxa"/>
            <w:shd w:val="clear" w:color="auto" w:fill="auto"/>
            <w:noWrap/>
            <w:vAlign w:val="bottom"/>
            <w:hideMark/>
          </w:tcPr>
          <w:p w14:paraId="7F285F5F"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6.5%</w:t>
            </w:r>
          </w:p>
        </w:tc>
        <w:tc>
          <w:tcPr>
            <w:tcW w:w="394" w:type="dxa"/>
            <w:shd w:val="clear" w:color="auto" w:fill="auto"/>
            <w:noWrap/>
            <w:vAlign w:val="bottom"/>
            <w:hideMark/>
          </w:tcPr>
          <w:p w14:paraId="4ADFCB1A"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2</w:t>
            </w:r>
          </w:p>
        </w:tc>
        <w:tc>
          <w:tcPr>
            <w:tcW w:w="670" w:type="dxa"/>
            <w:shd w:val="clear" w:color="auto" w:fill="auto"/>
            <w:noWrap/>
            <w:vAlign w:val="bottom"/>
            <w:hideMark/>
          </w:tcPr>
          <w:p w14:paraId="067F8D93"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314" w:type="dxa"/>
            <w:shd w:val="clear" w:color="auto" w:fill="auto"/>
            <w:noWrap/>
            <w:vAlign w:val="bottom"/>
            <w:hideMark/>
          </w:tcPr>
          <w:p w14:paraId="6666EDCF"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5BDFAE3"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44EA464"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8056692"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65C5F933" w14:textId="77777777" w:rsidTr="00A43F44">
        <w:trPr>
          <w:trHeight w:val="273"/>
          <w:jc w:val="center"/>
        </w:trPr>
        <w:tc>
          <w:tcPr>
            <w:tcW w:w="2607" w:type="dxa"/>
            <w:shd w:val="clear" w:color="auto" w:fill="auto"/>
            <w:noWrap/>
            <w:vAlign w:val="center"/>
            <w:hideMark/>
          </w:tcPr>
          <w:p w14:paraId="4157CCE2"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Swelling/induration</w:t>
            </w:r>
          </w:p>
        </w:tc>
        <w:tc>
          <w:tcPr>
            <w:tcW w:w="483" w:type="dxa"/>
            <w:shd w:val="clear" w:color="auto" w:fill="auto"/>
            <w:noWrap/>
            <w:vAlign w:val="bottom"/>
            <w:hideMark/>
          </w:tcPr>
          <w:p w14:paraId="605BDCB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19</w:t>
            </w:r>
          </w:p>
        </w:tc>
        <w:tc>
          <w:tcPr>
            <w:tcW w:w="689" w:type="dxa"/>
            <w:shd w:val="clear" w:color="auto" w:fill="auto"/>
            <w:noWrap/>
            <w:vAlign w:val="bottom"/>
            <w:hideMark/>
          </w:tcPr>
          <w:p w14:paraId="3F2EE71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7.3%</w:t>
            </w:r>
          </w:p>
        </w:tc>
        <w:tc>
          <w:tcPr>
            <w:tcW w:w="394" w:type="dxa"/>
            <w:shd w:val="clear" w:color="auto" w:fill="auto"/>
            <w:noWrap/>
            <w:vAlign w:val="bottom"/>
            <w:hideMark/>
          </w:tcPr>
          <w:p w14:paraId="0564474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w:t>
            </w:r>
          </w:p>
        </w:tc>
        <w:tc>
          <w:tcPr>
            <w:tcW w:w="688" w:type="dxa"/>
            <w:shd w:val="clear" w:color="auto" w:fill="auto"/>
            <w:noWrap/>
            <w:vAlign w:val="bottom"/>
            <w:hideMark/>
          </w:tcPr>
          <w:p w14:paraId="73104F0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0.8%</w:t>
            </w:r>
          </w:p>
        </w:tc>
        <w:tc>
          <w:tcPr>
            <w:tcW w:w="314" w:type="dxa"/>
            <w:shd w:val="clear" w:color="auto" w:fill="auto"/>
            <w:noWrap/>
            <w:vAlign w:val="bottom"/>
            <w:hideMark/>
          </w:tcPr>
          <w:p w14:paraId="53B4BBA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578EBB2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19AF5CD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789F72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02DC6D5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24</w:t>
            </w:r>
          </w:p>
        </w:tc>
        <w:tc>
          <w:tcPr>
            <w:tcW w:w="670" w:type="dxa"/>
            <w:shd w:val="clear" w:color="auto" w:fill="auto"/>
            <w:noWrap/>
            <w:vAlign w:val="bottom"/>
            <w:hideMark/>
          </w:tcPr>
          <w:p w14:paraId="5D5B5CF9"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9.2%</w:t>
            </w:r>
          </w:p>
        </w:tc>
        <w:tc>
          <w:tcPr>
            <w:tcW w:w="394" w:type="dxa"/>
            <w:shd w:val="clear" w:color="auto" w:fill="auto"/>
            <w:noWrap/>
            <w:vAlign w:val="bottom"/>
            <w:hideMark/>
          </w:tcPr>
          <w:p w14:paraId="150AA968"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6</w:t>
            </w:r>
          </w:p>
        </w:tc>
        <w:tc>
          <w:tcPr>
            <w:tcW w:w="670" w:type="dxa"/>
            <w:shd w:val="clear" w:color="auto" w:fill="auto"/>
            <w:noWrap/>
            <w:vAlign w:val="bottom"/>
            <w:hideMark/>
          </w:tcPr>
          <w:p w14:paraId="5511C94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2%</w:t>
            </w:r>
          </w:p>
        </w:tc>
        <w:tc>
          <w:tcPr>
            <w:tcW w:w="314" w:type="dxa"/>
            <w:shd w:val="clear" w:color="auto" w:fill="auto"/>
            <w:noWrap/>
            <w:vAlign w:val="bottom"/>
            <w:hideMark/>
          </w:tcPr>
          <w:p w14:paraId="26649CF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7CE66B38"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EAC4C1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2EFD4D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603FA5E7" w14:textId="77777777" w:rsidTr="00A43F44">
        <w:trPr>
          <w:trHeight w:val="273"/>
          <w:jc w:val="center"/>
        </w:trPr>
        <w:tc>
          <w:tcPr>
            <w:tcW w:w="2607" w:type="dxa"/>
            <w:shd w:val="clear" w:color="auto" w:fill="auto"/>
            <w:noWrap/>
            <w:vAlign w:val="center"/>
            <w:hideMark/>
          </w:tcPr>
          <w:p w14:paraId="76F60E56"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lastRenderedPageBreak/>
              <w:t xml:space="preserve">Itching/Pruritus associated with injection </w:t>
            </w:r>
          </w:p>
        </w:tc>
        <w:tc>
          <w:tcPr>
            <w:tcW w:w="483" w:type="dxa"/>
            <w:shd w:val="clear" w:color="auto" w:fill="auto"/>
            <w:noWrap/>
            <w:vAlign w:val="bottom"/>
            <w:hideMark/>
          </w:tcPr>
          <w:p w14:paraId="5891004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6</w:t>
            </w:r>
          </w:p>
        </w:tc>
        <w:tc>
          <w:tcPr>
            <w:tcW w:w="689" w:type="dxa"/>
            <w:shd w:val="clear" w:color="auto" w:fill="auto"/>
            <w:noWrap/>
            <w:vAlign w:val="bottom"/>
            <w:hideMark/>
          </w:tcPr>
          <w:p w14:paraId="4DC3F07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2.3%</w:t>
            </w:r>
          </w:p>
        </w:tc>
        <w:tc>
          <w:tcPr>
            <w:tcW w:w="394" w:type="dxa"/>
            <w:shd w:val="clear" w:color="auto" w:fill="auto"/>
            <w:noWrap/>
            <w:vAlign w:val="bottom"/>
            <w:hideMark/>
          </w:tcPr>
          <w:p w14:paraId="70ECF52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4D86810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C1201D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9DCF2A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C55422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DD71A4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4017B5F0"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17</w:t>
            </w:r>
          </w:p>
        </w:tc>
        <w:tc>
          <w:tcPr>
            <w:tcW w:w="670" w:type="dxa"/>
            <w:shd w:val="clear" w:color="auto" w:fill="auto"/>
            <w:noWrap/>
            <w:vAlign w:val="bottom"/>
            <w:hideMark/>
          </w:tcPr>
          <w:p w14:paraId="68AB8F2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6.5%</w:t>
            </w:r>
          </w:p>
        </w:tc>
        <w:tc>
          <w:tcPr>
            <w:tcW w:w="394" w:type="dxa"/>
            <w:shd w:val="clear" w:color="auto" w:fill="auto"/>
            <w:noWrap/>
            <w:vAlign w:val="bottom"/>
            <w:hideMark/>
          </w:tcPr>
          <w:p w14:paraId="18A0AD22"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670" w:type="dxa"/>
            <w:shd w:val="clear" w:color="auto" w:fill="auto"/>
            <w:noWrap/>
            <w:vAlign w:val="bottom"/>
            <w:hideMark/>
          </w:tcPr>
          <w:p w14:paraId="671EA786"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314" w:type="dxa"/>
            <w:shd w:val="clear" w:color="auto" w:fill="auto"/>
            <w:noWrap/>
            <w:vAlign w:val="bottom"/>
            <w:hideMark/>
          </w:tcPr>
          <w:p w14:paraId="1E0DA609"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CA75F65"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C035B0B"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7C8750F"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1E05091E" w14:textId="77777777" w:rsidTr="00A43F44">
        <w:trPr>
          <w:trHeight w:val="273"/>
          <w:jc w:val="center"/>
        </w:trPr>
        <w:tc>
          <w:tcPr>
            <w:tcW w:w="2607" w:type="dxa"/>
            <w:shd w:val="clear" w:color="auto" w:fill="auto"/>
            <w:noWrap/>
            <w:vAlign w:val="center"/>
            <w:hideMark/>
          </w:tcPr>
          <w:p w14:paraId="04CC66AA"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xml:space="preserve">Systemic Adverse Events </w:t>
            </w:r>
          </w:p>
        </w:tc>
        <w:tc>
          <w:tcPr>
            <w:tcW w:w="483" w:type="dxa"/>
            <w:shd w:val="clear" w:color="auto" w:fill="auto"/>
            <w:noWrap/>
            <w:vAlign w:val="bottom"/>
            <w:hideMark/>
          </w:tcPr>
          <w:p w14:paraId="308B2FC5"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89" w:type="dxa"/>
            <w:shd w:val="clear" w:color="auto" w:fill="auto"/>
            <w:noWrap/>
            <w:vAlign w:val="bottom"/>
            <w:hideMark/>
          </w:tcPr>
          <w:p w14:paraId="66B47241"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94" w:type="dxa"/>
            <w:shd w:val="clear" w:color="auto" w:fill="auto"/>
            <w:noWrap/>
            <w:vAlign w:val="bottom"/>
            <w:hideMark/>
          </w:tcPr>
          <w:p w14:paraId="339011B6"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688" w:type="dxa"/>
            <w:shd w:val="clear" w:color="auto" w:fill="auto"/>
            <w:noWrap/>
            <w:vAlign w:val="bottom"/>
            <w:hideMark/>
          </w:tcPr>
          <w:p w14:paraId="390454C0"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shd w:val="clear" w:color="auto" w:fill="auto"/>
            <w:noWrap/>
            <w:vAlign w:val="bottom"/>
            <w:hideMark/>
          </w:tcPr>
          <w:p w14:paraId="76341739"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shd w:val="clear" w:color="auto" w:fill="auto"/>
            <w:noWrap/>
            <w:vAlign w:val="bottom"/>
            <w:hideMark/>
          </w:tcPr>
          <w:p w14:paraId="476BDEDE"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314" w:type="dxa"/>
            <w:shd w:val="clear" w:color="auto" w:fill="auto"/>
            <w:noWrap/>
            <w:vAlign w:val="bottom"/>
            <w:hideMark/>
          </w:tcPr>
          <w:p w14:paraId="1051B98D"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581" w:type="dxa"/>
            <w:shd w:val="clear" w:color="auto" w:fill="auto"/>
            <w:noWrap/>
            <w:vAlign w:val="bottom"/>
            <w:hideMark/>
          </w:tcPr>
          <w:p w14:paraId="2A4813F7"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w:t>
            </w:r>
          </w:p>
        </w:tc>
        <w:tc>
          <w:tcPr>
            <w:tcW w:w="483" w:type="dxa"/>
            <w:shd w:val="clear" w:color="auto" w:fill="auto"/>
            <w:noWrap/>
            <w:vAlign w:val="bottom"/>
            <w:hideMark/>
          </w:tcPr>
          <w:p w14:paraId="2A32B7FC"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 </w:t>
            </w:r>
          </w:p>
        </w:tc>
        <w:tc>
          <w:tcPr>
            <w:tcW w:w="670" w:type="dxa"/>
            <w:shd w:val="clear" w:color="auto" w:fill="auto"/>
            <w:noWrap/>
            <w:vAlign w:val="bottom"/>
            <w:hideMark/>
          </w:tcPr>
          <w:p w14:paraId="76C8FC6F" w14:textId="77777777" w:rsidR="007E17ED" w:rsidRPr="006C2554" w:rsidRDefault="007E17ED" w:rsidP="00A43F44">
            <w:pPr>
              <w:spacing w:line="334" w:lineRule="auto"/>
              <w:contextualSpacing/>
              <w:jc w:val="right"/>
              <w:rPr>
                <w:rFonts w:ascii="Arial" w:hAnsi="Arial" w:cs="Arial"/>
                <w:sz w:val="16"/>
                <w:szCs w:val="16"/>
              </w:rPr>
            </w:pPr>
          </w:p>
        </w:tc>
        <w:tc>
          <w:tcPr>
            <w:tcW w:w="394" w:type="dxa"/>
            <w:shd w:val="clear" w:color="auto" w:fill="auto"/>
            <w:noWrap/>
            <w:vAlign w:val="bottom"/>
            <w:hideMark/>
          </w:tcPr>
          <w:p w14:paraId="17892FE1"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 </w:t>
            </w:r>
          </w:p>
        </w:tc>
        <w:tc>
          <w:tcPr>
            <w:tcW w:w="670" w:type="dxa"/>
            <w:shd w:val="clear" w:color="auto" w:fill="auto"/>
            <w:noWrap/>
            <w:vAlign w:val="bottom"/>
            <w:hideMark/>
          </w:tcPr>
          <w:p w14:paraId="04FE8077" w14:textId="77777777" w:rsidR="007E17ED" w:rsidRPr="006C2554" w:rsidRDefault="007E17ED" w:rsidP="00A43F44">
            <w:pPr>
              <w:spacing w:line="334" w:lineRule="auto"/>
              <w:contextualSpacing/>
              <w:jc w:val="center"/>
              <w:rPr>
                <w:rFonts w:ascii="Arial" w:hAnsi="Arial" w:cs="Arial"/>
                <w:sz w:val="16"/>
                <w:szCs w:val="16"/>
              </w:rPr>
            </w:pPr>
          </w:p>
        </w:tc>
        <w:tc>
          <w:tcPr>
            <w:tcW w:w="314" w:type="dxa"/>
            <w:shd w:val="clear" w:color="auto" w:fill="auto"/>
            <w:noWrap/>
            <w:vAlign w:val="bottom"/>
            <w:hideMark/>
          </w:tcPr>
          <w:p w14:paraId="329311C6" w14:textId="77777777" w:rsidR="007E17ED" w:rsidRPr="006C2554" w:rsidRDefault="007E17ED" w:rsidP="00A43F44">
            <w:pPr>
              <w:spacing w:line="334" w:lineRule="auto"/>
              <w:contextualSpacing/>
              <w:jc w:val="right"/>
              <w:rPr>
                <w:rFonts w:ascii="Arial" w:hAnsi="Arial" w:cs="Arial"/>
                <w:sz w:val="16"/>
                <w:szCs w:val="16"/>
              </w:rPr>
            </w:pPr>
          </w:p>
        </w:tc>
        <w:tc>
          <w:tcPr>
            <w:tcW w:w="581" w:type="dxa"/>
            <w:shd w:val="clear" w:color="auto" w:fill="auto"/>
            <w:noWrap/>
            <w:vAlign w:val="bottom"/>
            <w:hideMark/>
          </w:tcPr>
          <w:p w14:paraId="4F1DA9C7" w14:textId="77777777" w:rsidR="007E17ED" w:rsidRPr="006C2554" w:rsidRDefault="007E17ED" w:rsidP="00A43F44">
            <w:pPr>
              <w:spacing w:line="334" w:lineRule="auto"/>
              <w:contextualSpacing/>
              <w:jc w:val="right"/>
              <w:rPr>
                <w:rFonts w:ascii="Arial" w:hAnsi="Arial" w:cs="Arial"/>
                <w:sz w:val="16"/>
                <w:szCs w:val="16"/>
              </w:rPr>
            </w:pPr>
          </w:p>
        </w:tc>
        <w:tc>
          <w:tcPr>
            <w:tcW w:w="314" w:type="dxa"/>
            <w:shd w:val="clear" w:color="auto" w:fill="auto"/>
            <w:noWrap/>
            <w:vAlign w:val="bottom"/>
            <w:hideMark/>
          </w:tcPr>
          <w:p w14:paraId="400710C2" w14:textId="77777777" w:rsidR="007E17ED" w:rsidRPr="006C2554" w:rsidRDefault="007E17ED" w:rsidP="00A43F44">
            <w:pPr>
              <w:spacing w:line="334" w:lineRule="auto"/>
              <w:contextualSpacing/>
              <w:jc w:val="right"/>
              <w:rPr>
                <w:rFonts w:ascii="Arial" w:hAnsi="Arial" w:cs="Arial"/>
                <w:sz w:val="16"/>
                <w:szCs w:val="16"/>
              </w:rPr>
            </w:pPr>
          </w:p>
        </w:tc>
        <w:tc>
          <w:tcPr>
            <w:tcW w:w="581" w:type="dxa"/>
            <w:shd w:val="clear" w:color="auto" w:fill="auto"/>
            <w:noWrap/>
            <w:vAlign w:val="bottom"/>
            <w:hideMark/>
          </w:tcPr>
          <w:p w14:paraId="6A1AB7AB" w14:textId="77777777" w:rsidR="007E17ED" w:rsidRPr="006C2554" w:rsidRDefault="007E17ED" w:rsidP="00A43F44">
            <w:pPr>
              <w:spacing w:line="334" w:lineRule="auto"/>
              <w:contextualSpacing/>
              <w:jc w:val="right"/>
              <w:rPr>
                <w:rFonts w:ascii="Arial" w:hAnsi="Arial" w:cs="Arial"/>
                <w:sz w:val="16"/>
                <w:szCs w:val="16"/>
              </w:rPr>
            </w:pPr>
          </w:p>
        </w:tc>
      </w:tr>
      <w:tr w:rsidR="007E17ED" w:rsidRPr="006C2554" w14:paraId="0E16F824" w14:textId="77777777" w:rsidTr="00A43F44">
        <w:trPr>
          <w:trHeight w:val="273"/>
          <w:jc w:val="center"/>
        </w:trPr>
        <w:tc>
          <w:tcPr>
            <w:tcW w:w="2607" w:type="dxa"/>
            <w:shd w:val="clear" w:color="auto" w:fill="auto"/>
            <w:noWrap/>
            <w:vAlign w:val="center"/>
            <w:hideMark/>
          </w:tcPr>
          <w:p w14:paraId="423B9040"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Pain in the legs</w:t>
            </w:r>
          </w:p>
        </w:tc>
        <w:tc>
          <w:tcPr>
            <w:tcW w:w="483" w:type="dxa"/>
            <w:shd w:val="clear" w:color="auto" w:fill="auto"/>
            <w:noWrap/>
            <w:vAlign w:val="bottom"/>
            <w:hideMark/>
          </w:tcPr>
          <w:p w14:paraId="0219C49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24</w:t>
            </w:r>
          </w:p>
        </w:tc>
        <w:tc>
          <w:tcPr>
            <w:tcW w:w="689" w:type="dxa"/>
            <w:shd w:val="clear" w:color="auto" w:fill="auto"/>
            <w:noWrap/>
            <w:vAlign w:val="bottom"/>
            <w:hideMark/>
          </w:tcPr>
          <w:p w14:paraId="31987AF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9.2%</w:t>
            </w:r>
          </w:p>
        </w:tc>
        <w:tc>
          <w:tcPr>
            <w:tcW w:w="394" w:type="dxa"/>
            <w:shd w:val="clear" w:color="auto" w:fill="auto"/>
            <w:noWrap/>
            <w:vAlign w:val="bottom"/>
            <w:hideMark/>
          </w:tcPr>
          <w:p w14:paraId="41B193C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88" w:type="dxa"/>
            <w:shd w:val="clear" w:color="auto" w:fill="auto"/>
            <w:noWrap/>
            <w:vAlign w:val="bottom"/>
            <w:hideMark/>
          </w:tcPr>
          <w:p w14:paraId="547FC99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14" w:type="dxa"/>
            <w:shd w:val="clear" w:color="auto" w:fill="auto"/>
            <w:noWrap/>
            <w:vAlign w:val="bottom"/>
            <w:hideMark/>
          </w:tcPr>
          <w:p w14:paraId="4565361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56D9E05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F8008F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DE622F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30D808D1"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34</w:t>
            </w:r>
          </w:p>
        </w:tc>
        <w:tc>
          <w:tcPr>
            <w:tcW w:w="670" w:type="dxa"/>
            <w:shd w:val="clear" w:color="auto" w:fill="auto"/>
            <w:noWrap/>
            <w:vAlign w:val="bottom"/>
            <w:hideMark/>
          </w:tcPr>
          <w:p w14:paraId="6AD6FE7C"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13.0%</w:t>
            </w:r>
          </w:p>
        </w:tc>
        <w:tc>
          <w:tcPr>
            <w:tcW w:w="394" w:type="dxa"/>
            <w:shd w:val="clear" w:color="auto" w:fill="auto"/>
            <w:noWrap/>
            <w:vAlign w:val="bottom"/>
            <w:hideMark/>
          </w:tcPr>
          <w:p w14:paraId="54EDBC9A"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5</w:t>
            </w:r>
          </w:p>
        </w:tc>
        <w:tc>
          <w:tcPr>
            <w:tcW w:w="670" w:type="dxa"/>
            <w:shd w:val="clear" w:color="auto" w:fill="auto"/>
            <w:noWrap/>
            <w:vAlign w:val="bottom"/>
            <w:hideMark/>
          </w:tcPr>
          <w:p w14:paraId="3F694CF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1.9%</w:t>
            </w:r>
          </w:p>
        </w:tc>
        <w:tc>
          <w:tcPr>
            <w:tcW w:w="314" w:type="dxa"/>
            <w:shd w:val="clear" w:color="auto" w:fill="auto"/>
            <w:noWrap/>
            <w:vAlign w:val="bottom"/>
            <w:hideMark/>
          </w:tcPr>
          <w:p w14:paraId="45BA8495"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F7D34B4"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15B9870"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51F3B942"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6371FA06" w14:textId="77777777" w:rsidTr="00A43F44">
        <w:trPr>
          <w:trHeight w:val="273"/>
          <w:jc w:val="center"/>
        </w:trPr>
        <w:tc>
          <w:tcPr>
            <w:tcW w:w="2607" w:type="dxa"/>
            <w:shd w:val="clear" w:color="auto" w:fill="auto"/>
            <w:noWrap/>
            <w:vAlign w:val="center"/>
            <w:hideMark/>
          </w:tcPr>
          <w:p w14:paraId="223A246B"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Fever</w:t>
            </w:r>
          </w:p>
        </w:tc>
        <w:tc>
          <w:tcPr>
            <w:tcW w:w="483" w:type="dxa"/>
            <w:shd w:val="clear" w:color="auto" w:fill="auto"/>
            <w:noWrap/>
            <w:vAlign w:val="bottom"/>
            <w:hideMark/>
          </w:tcPr>
          <w:p w14:paraId="2B93DE3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36</w:t>
            </w:r>
          </w:p>
        </w:tc>
        <w:tc>
          <w:tcPr>
            <w:tcW w:w="689" w:type="dxa"/>
            <w:shd w:val="clear" w:color="auto" w:fill="auto"/>
            <w:noWrap/>
            <w:vAlign w:val="bottom"/>
            <w:hideMark/>
          </w:tcPr>
          <w:p w14:paraId="62C0801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13.8%</w:t>
            </w:r>
          </w:p>
        </w:tc>
        <w:tc>
          <w:tcPr>
            <w:tcW w:w="394" w:type="dxa"/>
            <w:shd w:val="clear" w:color="auto" w:fill="auto"/>
            <w:noWrap/>
            <w:vAlign w:val="bottom"/>
            <w:hideMark/>
          </w:tcPr>
          <w:p w14:paraId="0DFE5D8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7256CAD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6B0D9A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9998D1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2C68D8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62FB27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5EDEF4F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43</w:t>
            </w:r>
          </w:p>
        </w:tc>
        <w:tc>
          <w:tcPr>
            <w:tcW w:w="670" w:type="dxa"/>
            <w:shd w:val="clear" w:color="auto" w:fill="auto"/>
            <w:noWrap/>
            <w:vAlign w:val="bottom"/>
            <w:hideMark/>
          </w:tcPr>
          <w:p w14:paraId="2A69AC16"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16.5%</w:t>
            </w:r>
          </w:p>
        </w:tc>
        <w:tc>
          <w:tcPr>
            <w:tcW w:w="394" w:type="dxa"/>
            <w:shd w:val="clear" w:color="auto" w:fill="auto"/>
            <w:noWrap/>
            <w:vAlign w:val="bottom"/>
            <w:hideMark/>
          </w:tcPr>
          <w:p w14:paraId="32FB8C7A"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2</w:t>
            </w:r>
          </w:p>
        </w:tc>
        <w:tc>
          <w:tcPr>
            <w:tcW w:w="670" w:type="dxa"/>
            <w:shd w:val="clear" w:color="auto" w:fill="auto"/>
            <w:noWrap/>
            <w:vAlign w:val="bottom"/>
            <w:hideMark/>
          </w:tcPr>
          <w:p w14:paraId="7748FEE8"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0.8%</w:t>
            </w:r>
          </w:p>
        </w:tc>
        <w:tc>
          <w:tcPr>
            <w:tcW w:w="314" w:type="dxa"/>
            <w:shd w:val="clear" w:color="auto" w:fill="auto"/>
            <w:noWrap/>
            <w:vAlign w:val="bottom"/>
            <w:hideMark/>
          </w:tcPr>
          <w:p w14:paraId="4667FB46"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E1F82F9"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9F05C6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5516B6DC"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08FB876C" w14:textId="77777777" w:rsidTr="00A43F44">
        <w:trPr>
          <w:trHeight w:val="273"/>
          <w:jc w:val="center"/>
        </w:trPr>
        <w:tc>
          <w:tcPr>
            <w:tcW w:w="2607" w:type="dxa"/>
            <w:shd w:val="clear" w:color="auto" w:fill="auto"/>
            <w:noWrap/>
            <w:vAlign w:val="center"/>
            <w:hideMark/>
          </w:tcPr>
          <w:p w14:paraId="2691ABCC"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Nausea/ Vomiting</w:t>
            </w:r>
          </w:p>
        </w:tc>
        <w:tc>
          <w:tcPr>
            <w:tcW w:w="483" w:type="dxa"/>
            <w:shd w:val="clear" w:color="auto" w:fill="auto"/>
            <w:noWrap/>
            <w:vAlign w:val="bottom"/>
            <w:hideMark/>
          </w:tcPr>
          <w:p w14:paraId="3D786F0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89" w:type="dxa"/>
            <w:shd w:val="clear" w:color="auto" w:fill="auto"/>
            <w:noWrap/>
            <w:vAlign w:val="bottom"/>
            <w:hideMark/>
          </w:tcPr>
          <w:p w14:paraId="50472E3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94" w:type="dxa"/>
            <w:shd w:val="clear" w:color="auto" w:fill="auto"/>
            <w:noWrap/>
            <w:vAlign w:val="bottom"/>
            <w:hideMark/>
          </w:tcPr>
          <w:p w14:paraId="55C3C37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522DEEB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72BB77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73298FD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C81105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E5D9C0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08375CAA"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9</w:t>
            </w:r>
          </w:p>
        </w:tc>
        <w:tc>
          <w:tcPr>
            <w:tcW w:w="670" w:type="dxa"/>
            <w:shd w:val="clear" w:color="auto" w:fill="auto"/>
            <w:noWrap/>
            <w:vAlign w:val="bottom"/>
            <w:hideMark/>
          </w:tcPr>
          <w:p w14:paraId="4EEA8800"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3.4%</w:t>
            </w:r>
          </w:p>
        </w:tc>
        <w:tc>
          <w:tcPr>
            <w:tcW w:w="394" w:type="dxa"/>
            <w:shd w:val="clear" w:color="auto" w:fill="auto"/>
            <w:noWrap/>
            <w:vAlign w:val="bottom"/>
            <w:hideMark/>
          </w:tcPr>
          <w:p w14:paraId="1670423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6BA90621"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E5D0B23"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2810DF6"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C0184D1"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150EF5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393CEC7D" w14:textId="77777777" w:rsidTr="00A43F44">
        <w:trPr>
          <w:trHeight w:val="273"/>
          <w:jc w:val="center"/>
        </w:trPr>
        <w:tc>
          <w:tcPr>
            <w:tcW w:w="2607" w:type="dxa"/>
            <w:shd w:val="clear" w:color="auto" w:fill="auto"/>
            <w:noWrap/>
            <w:vAlign w:val="center"/>
            <w:hideMark/>
          </w:tcPr>
          <w:p w14:paraId="3486FC66"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 xml:space="preserve">Headache  </w:t>
            </w:r>
          </w:p>
        </w:tc>
        <w:tc>
          <w:tcPr>
            <w:tcW w:w="483" w:type="dxa"/>
            <w:shd w:val="clear" w:color="auto" w:fill="auto"/>
            <w:noWrap/>
            <w:vAlign w:val="bottom"/>
            <w:hideMark/>
          </w:tcPr>
          <w:p w14:paraId="398D977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31</w:t>
            </w:r>
          </w:p>
        </w:tc>
        <w:tc>
          <w:tcPr>
            <w:tcW w:w="689" w:type="dxa"/>
            <w:shd w:val="clear" w:color="auto" w:fill="auto"/>
            <w:noWrap/>
            <w:vAlign w:val="bottom"/>
            <w:hideMark/>
          </w:tcPr>
          <w:p w14:paraId="07F7A15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11.9%</w:t>
            </w:r>
          </w:p>
        </w:tc>
        <w:tc>
          <w:tcPr>
            <w:tcW w:w="394" w:type="dxa"/>
            <w:shd w:val="clear" w:color="auto" w:fill="auto"/>
            <w:noWrap/>
            <w:vAlign w:val="bottom"/>
            <w:hideMark/>
          </w:tcPr>
          <w:p w14:paraId="41F577E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8</w:t>
            </w:r>
          </w:p>
        </w:tc>
        <w:tc>
          <w:tcPr>
            <w:tcW w:w="688" w:type="dxa"/>
            <w:shd w:val="clear" w:color="auto" w:fill="auto"/>
            <w:noWrap/>
            <w:vAlign w:val="bottom"/>
            <w:hideMark/>
          </w:tcPr>
          <w:p w14:paraId="01057E9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3.1%</w:t>
            </w:r>
          </w:p>
        </w:tc>
        <w:tc>
          <w:tcPr>
            <w:tcW w:w="314" w:type="dxa"/>
            <w:shd w:val="clear" w:color="auto" w:fill="auto"/>
            <w:noWrap/>
            <w:vAlign w:val="bottom"/>
            <w:hideMark/>
          </w:tcPr>
          <w:p w14:paraId="4AD6E82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31953D4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455D47B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695907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52D44CF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37</w:t>
            </w:r>
          </w:p>
        </w:tc>
        <w:tc>
          <w:tcPr>
            <w:tcW w:w="670" w:type="dxa"/>
            <w:shd w:val="clear" w:color="auto" w:fill="auto"/>
            <w:noWrap/>
            <w:vAlign w:val="bottom"/>
            <w:hideMark/>
          </w:tcPr>
          <w:p w14:paraId="359AA0B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14.2%</w:t>
            </w:r>
          </w:p>
        </w:tc>
        <w:tc>
          <w:tcPr>
            <w:tcW w:w="394" w:type="dxa"/>
            <w:shd w:val="clear" w:color="auto" w:fill="auto"/>
            <w:noWrap/>
            <w:vAlign w:val="bottom"/>
            <w:hideMark/>
          </w:tcPr>
          <w:p w14:paraId="08144A4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8</w:t>
            </w:r>
          </w:p>
        </w:tc>
        <w:tc>
          <w:tcPr>
            <w:tcW w:w="670" w:type="dxa"/>
            <w:shd w:val="clear" w:color="auto" w:fill="auto"/>
            <w:noWrap/>
            <w:vAlign w:val="bottom"/>
            <w:hideMark/>
          </w:tcPr>
          <w:p w14:paraId="0D7319D5"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3.1%</w:t>
            </w:r>
          </w:p>
        </w:tc>
        <w:tc>
          <w:tcPr>
            <w:tcW w:w="314" w:type="dxa"/>
            <w:shd w:val="clear" w:color="auto" w:fill="auto"/>
            <w:noWrap/>
            <w:vAlign w:val="bottom"/>
            <w:hideMark/>
          </w:tcPr>
          <w:p w14:paraId="13B2BA2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4A9C1F5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626C31A3"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BB927E8"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421C7EEE" w14:textId="77777777" w:rsidTr="00A43F44">
        <w:trPr>
          <w:trHeight w:val="273"/>
          <w:jc w:val="center"/>
        </w:trPr>
        <w:tc>
          <w:tcPr>
            <w:tcW w:w="2607" w:type="dxa"/>
            <w:shd w:val="clear" w:color="auto" w:fill="auto"/>
            <w:noWrap/>
            <w:vAlign w:val="center"/>
            <w:hideMark/>
          </w:tcPr>
          <w:p w14:paraId="71493EF7"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Fatigue</w:t>
            </w:r>
          </w:p>
        </w:tc>
        <w:tc>
          <w:tcPr>
            <w:tcW w:w="483" w:type="dxa"/>
            <w:shd w:val="clear" w:color="auto" w:fill="auto"/>
            <w:noWrap/>
            <w:vAlign w:val="bottom"/>
            <w:hideMark/>
          </w:tcPr>
          <w:p w14:paraId="2201757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70</w:t>
            </w:r>
          </w:p>
        </w:tc>
        <w:tc>
          <w:tcPr>
            <w:tcW w:w="689" w:type="dxa"/>
            <w:shd w:val="clear" w:color="auto" w:fill="auto"/>
            <w:noWrap/>
            <w:vAlign w:val="bottom"/>
            <w:hideMark/>
          </w:tcPr>
          <w:p w14:paraId="2D04AAF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26.8%</w:t>
            </w:r>
          </w:p>
        </w:tc>
        <w:tc>
          <w:tcPr>
            <w:tcW w:w="394" w:type="dxa"/>
            <w:shd w:val="clear" w:color="auto" w:fill="auto"/>
            <w:noWrap/>
            <w:vAlign w:val="bottom"/>
            <w:hideMark/>
          </w:tcPr>
          <w:p w14:paraId="271F201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27</w:t>
            </w:r>
          </w:p>
        </w:tc>
        <w:tc>
          <w:tcPr>
            <w:tcW w:w="688" w:type="dxa"/>
            <w:shd w:val="clear" w:color="auto" w:fill="auto"/>
            <w:noWrap/>
            <w:vAlign w:val="bottom"/>
            <w:hideMark/>
          </w:tcPr>
          <w:p w14:paraId="701FF1B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10.3%</w:t>
            </w:r>
          </w:p>
        </w:tc>
        <w:tc>
          <w:tcPr>
            <w:tcW w:w="314" w:type="dxa"/>
            <w:shd w:val="clear" w:color="auto" w:fill="auto"/>
            <w:noWrap/>
            <w:vAlign w:val="bottom"/>
            <w:hideMark/>
          </w:tcPr>
          <w:p w14:paraId="1488087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41BA808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AE24C3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693575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1D8976C6"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91</w:t>
            </w:r>
          </w:p>
        </w:tc>
        <w:tc>
          <w:tcPr>
            <w:tcW w:w="670" w:type="dxa"/>
            <w:shd w:val="clear" w:color="auto" w:fill="auto"/>
            <w:noWrap/>
            <w:vAlign w:val="bottom"/>
            <w:hideMark/>
          </w:tcPr>
          <w:p w14:paraId="3D9E542F"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34.9%</w:t>
            </w:r>
          </w:p>
        </w:tc>
        <w:tc>
          <w:tcPr>
            <w:tcW w:w="394" w:type="dxa"/>
            <w:shd w:val="clear" w:color="auto" w:fill="auto"/>
            <w:noWrap/>
            <w:vAlign w:val="bottom"/>
            <w:hideMark/>
          </w:tcPr>
          <w:p w14:paraId="7E106922"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28</w:t>
            </w:r>
          </w:p>
        </w:tc>
        <w:tc>
          <w:tcPr>
            <w:tcW w:w="670" w:type="dxa"/>
            <w:shd w:val="clear" w:color="auto" w:fill="auto"/>
            <w:noWrap/>
            <w:vAlign w:val="bottom"/>
            <w:hideMark/>
          </w:tcPr>
          <w:p w14:paraId="569E4A4A"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10.7%</w:t>
            </w:r>
          </w:p>
        </w:tc>
        <w:tc>
          <w:tcPr>
            <w:tcW w:w="314" w:type="dxa"/>
            <w:shd w:val="clear" w:color="auto" w:fill="auto"/>
            <w:noWrap/>
            <w:vAlign w:val="bottom"/>
            <w:hideMark/>
          </w:tcPr>
          <w:p w14:paraId="1194EC5A"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193BE8A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A590BBC"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524068F"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6B63FD46" w14:textId="77777777" w:rsidTr="00A43F44">
        <w:trPr>
          <w:trHeight w:val="273"/>
          <w:jc w:val="center"/>
        </w:trPr>
        <w:tc>
          <w:tcPr>
            <w:tcW w:w="2607" w:type="dxa"/>
            <w:shd w:val="clear" w:color="auto" w:fill="auto"/>
            <w:noWrap/>
            <w:vAlign w:val="center"/>
            <w:hideMark/>
          </w:tcPr>
          <w:p w14:paraId="5A3E4847"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Myalgia</w:t>
            </w:r>
          </w:p>
        </w:tc>
        <w:tc>
          <w:tcPr>
            <w:tcW w:w="483" w:type="dxa"/>
            <w:shd w:val="clear" w:color="auto" w:fill="auto"/>
            <w:noWrap/>
            <w:vAlign w:val="bottom"/>
            <w:hideMark/>
          </w:tcPr>
          <w:p w14:paraId="2267A12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44</w:t>
            </w:r>
          </w:p>
        </w:tc>
        <w:tc>
          <w:tcPr>
            <w:tcW w:w="689" w:type="dxa"/>
            <w:shd w:val="clear" w:color="auto" w:fill="auto"/>
            <w:noWrap/>
            <w:vAlign w:val="bottom"/>
            <w:hideMark/>
          </w:tcPr>
          <w:p w14:paraId="7C9D914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16.9%</w:t>
            </w:r>
          </w:p>
        </w:tc>
        <w:tc>
          <w:tcPr>
            <w:tcW w:w="394" w:type="dxa"/>
            <w:shd w:val="clear" w:color="auto" w:fill="auto"/>
            <w:noWrap/>
            <w:vAlign w:val="bottom"/>
            <w:hideMark/>
          </w:tcPr>
          <w:p w14:paraId="43DB61A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688" w:type="dxa"/>
            <w:shd w:val="clear" w:color="auto" w:fill="auto"/>
            <w:noWrap/>
            <w:vAlign w:val="bottom"/>
            <w:hideMark/>
          </w:tcPr>
          <w:p w14:paraId="523D3BA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5.7%</w:t>
            </w:r>
          </w:p>
        </w:tc>
        <w:tc>
          <w:tcPr>
            <w:tcW w:w="314" w:type="dxa"/>
            <w:shd w:val="clear" w:color="auto" w:fill="auto"/>
            <w:noWrap/>
            <w:vAlign w:val="bottom"/>
            <w:hideMark/>
          </w:tcPr>
          <w:p w14:paraId="12271BB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15DFF7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E1F1C0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5A8211A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4AED11D8"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54</w:t>
            </w:r>
          </w:p>
        </w:tc>
        <w:tc>
          <w:tcPr>
            <w:tcW w:w="670" w:type="dxa"/>
            <w:shd w:val="clear" w:color="auto" w:fill="auto"/>
            <w:noWrap/>
            <w:vAlign w:val="bottom"/>
            <w:hideMark/>
          </w:tcPr>
          <w:p w14:paraId="03D27486"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20.7%</w:t>
            </w:r>
          </w:p>
        </w:tc>
        <w:tc>
          <w:tcPr>
            <w:tcW w:w="394" w:type="dxa"/>
            <w:shd w:val="clear" w:color="auto" w:fill="auto"/>
            <w:noWrap/>
            <w:vAlign w:val="bottom"/>
            <w:hideMark/>
          </w:tcPr>
          <w:p w14:paraId="3BCCDF1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18</w:t>
            </w:r>
          </w:p>
        </w:tc>
        <w:tc>
          <w:tcPr>
            <w:tcW w:w="670" w:type="dxa"/>
            <w:shd w:val="clear" w:color="auto" w:fill="auto"/>
            <w:noWrap/>
            <w:vAlign w:val="bottom"/>
            <w:hideMark/>
          </w:tcPr>
          <w:p w14:paraId="3D9862B5"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6.9%</w:t>
            </w:r>
          </w:p>
        </w:tc>
        <w:tc>
          <w:tcPr>
            <w:tcW w:w="314" w:type="dxa"/>
            <w:shd w:val="clear" w:color="auto" w:fill="auto"/>
            <w:noWrap/>
            <w:vAlign w:val="bottom"/>
            <w:hideMark/>
          </w:tcPr>
          <w:p w14:paraId="1A0F874F"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0C69519"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D52D126"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D2E7C51"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322763B2" w14:textId="77777777" w:rsidTr="00A43F44">
        <w:trPr>
          <w:trHeight w:val="273"/>
          <w:jc w:val="center"/>
        </w:trPr>
        <w:tc>
          <w:tcPr>
            <w:tcW w:w="2607" w:type="dxa"/>
            <w:shd w:val="clear" w:color="auto" w:fill="auto"/>
            <w:noWrap/>
            <w:vAlign w:val="center"/>
            <w:hideMark/>
          </w:tcPr>
          <w:p w14:paraId="75F85C10"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Acute Allergic Reaction</w:t>
            </w:r>
          </w:p>
        </w:tc>
        <w:tc>
          <w:tcPr>
            <w:tcW w:w="483" w:type="dxa"/>
            <w:shd w:val="clear" w:color="auto" w:fill="auto"/>
            <w:noWrap/>
            <w:vAlign w:val="bottom"/>
            <w:hideMark/>
          </w:tcPr>
          <w:p w14:paraId="53F0D8E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9" w:type="dxa"/>
            <w:shd w:val="clear" w:color="auto" w:fill="auto"/>
            <w:noWrap/>
            <w:vAlign w:val="bottom"/>
            <w:hideMark/>
          </w:tcPr>
          <w:p w14:paraId="59BE294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6F4353D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04F3B23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409163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BA5155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73085A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B83D90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7C2952A1"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5853E512"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587C3A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646A790B"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3B299D9"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55C5078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2BE9CE4"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59577F2"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6650A0AE" w14:textId="77777777" w:rsidTr="00A43F44">
        <w:trPr>
          <w:trHeight w:val="273"/>
          <w:jc w:val="center"/>
        </w:trPr>
        <w:tc>
          <w:tcPr>
            <w:tcW w:w="2607" w:type="dxa"/>
            <w:shd w:val="clear" w:color="auto" w:fill="auto"/>
            <w:noWrap/>
            <w:vAlign w:val="center"/>
            <w:hideMark/>
          </w:tcPr>
          <w:p w14:paraId="2C2879E8"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 xml:space="preserve">Rash </w:t>
            </w:r>
          </w:p>
        </w:tc>
        <w:tc>
          <w:tcPr>
            <w:tcW w:w="483" w:type="dxa"/>
            <w:shd w:val="clear" w:color="auto" w:fill="auto"/>
            <w:noWrap/>
            <w:vAlign w:val="bottom"/>
            <w:hideMark/>
          </w:tcPr>
          <w:p w14:paraId="27D995B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9" w:type="dxa"/>
            <w:shd w:val="clear" w:color="auto" w:fill="auto"/>
            <w:noWrap/>
            <w:vAlign w:val="bottom"/>
            <w:hideMark/>
          </w:tcPr>
          <w:p w14:paraId="6152796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34086D6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42594A4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68455E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DE1126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E8CDBC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CD7542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3BC347BC"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4DA3D7A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1951223"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6EE594D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88BEAEC"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AC05274"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F27E33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8447BD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1EADC7D4" w14:textId="77777777" w:rsidTr="00A43F44">
        <w:trPr>
          <w:trHeight w:val="273"/>
          <w:jc w:val="center"/>
        </w:trPr>
        <w:tc>
          <w:tcPr>
            <w:tcW w:w="2607" w:type="dxa"/>
            <w:shd w:val="clear" w:color="auto" w:fill="auto"/>
            <w:noWrap/>
            <w:vAlign w:val="center"/>
            <w:hideMark/>
          </w:tcPr>
          <w:p w14:paraId="3E31136B"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Joint pain</w:t>
            </w:r>
          </w:p>
        </w:tc>
        <w:tc>
          <w:tcPr>
            <w:tcW w:w="483" w:type="dxa"/>
            <w:shd w:val="clear" w:color="auto" w:fill="auto"/>
            <w:noWrap/>
            <w:vAlign w:val="bottom"/>
            <w:hideMark/>
          </w:tcPr>
          <w:p w14:paraId="7BC2D26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34</w:t>
            </w:r>
          </w:p>
        </w:tc>
        <w:tc>
          <w:tcPr>
            <w:tcW w:w="689" w:type="dxa"/>
            <w:shd w:val="clear" w:color="auto" w:fill="auto"/>
            <w:noWrap/>
            <w:vAlign w:val="bottom"/>
            <w:hideMark/>
          </w:tcPr>
          <w:p w14:paraId="7C0E8DC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13.0%</w:t>
            </w:r>
          </w:p>
        </w:tc>
        <w:tc>
          <w:tcPr>
            <w:tcW w:w="394" w:type="dxa"/>
            <w:shd w:val="clear" w:color="auto" w:fill="auto"/>
            <w:noWrap/>
            <w:vAlign w:val="bottom"/>
            <w:hideMark/>
          </w:tcPr>
          <w:p w14:paraId="5562463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14</w:t>
            </w:r>
          </w:p>
        </w:tc>
        <w:tc>
          <w:tcPr>
            <w:tcW w:w="688" w:type="dxa"/>
            <w:shd w:val="clear" w:color="auto" w:fill="auto"/>
            <w:noWrap/>
            <w:vAlign w:val="bottom"/>
            <w:hideMark/>
          </w:tcPr>
          <w:p w14:paraId="362D737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5.4%</w:t>
            </w:r>
          </w:p>
        </w:tc>
        <w:tc>
          <w:tcPr>
            <w:tcW w:w="314" w:type="dxa"/>
            <w:shd w:val="clear" w:color="auto" w:fill="auto"/>
            <w:noWrap/>
            <w:vAlign w:val="bottom"/>
            <w:hideMark/>
          </w:tcPr>
          <w:p w14:paraId="08B480B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581" w:type="dxa"/>
            <w:shd w:val="clear" w:color="auto" w:fill="auto"/>
            <w:noWrap/>
            <w:vAlign w:val="bottom"/>
            <w:hideMark/>
          </w:tcPr>
          <w:p w14:paraId="0FBBB5F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F3FABE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38B19B9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10AB13A7"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54</w:t>
            </w:r>
          </w:p>
        </w:tc>
        <w:tc>
          <w:tcPr>
            <w:tcW w:w="670" w:type="dxa"/>
            <w:shd w:val="clear" w:color="auto" w:fill="auto"/>
            <w:noWrap/>
            <w:vAlign w:val="bottom"/>
            <w:hideMark/>
          </w:tcPr>
          <w:p w14:paraId="0E1DA3B2"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20.7%</w:t>
            </w:r>
          </w:p>
        </w:tc>
        <w:tc>
          <w:tcPr>
            <w:tcW w:w="394" w:type="dxa"/>
            <w:shd w:val="clear" w:color="auto" w:fill="auto"/>
            <w:noWrap/>
            <w:vAlign w:val="bottom"/>
            <w:hideMark/>
          </w:tcPr>
          <w:p w14:paraId="221D95B8"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17</w:t>
            </w:r>
          </w:p>
        </w:tc>
        <w:tc>
          <w:tcPr>
            <w:tcW w:w="670" w:type="dxa"/>
            <w:shd w:val="clear" w:color="auto" w:fill="auto"/>
            <w:noWrap/>
            <w:vAlign w:val="bottom"/>
            <w:hideMark/>
          </w:tcPr>
          <w:p w14:paraId="64057435"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6.5%</w:t>
            </w:r>
          </w:p>
        </w:tc>
        <w:tc>
          <w:tcPr>
            <w:tcW w:w="314" w:type="dxa"/>
            <w:shd w:val="clear" w:color="auto" w:fill="auto"/>
            <w:noWrap/>
            <w:vAlign w:val="bottom"/>
            <w:hideMark/>
          </w:tcPr>
          <w:p w14:paraId="4047F038"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3</w:t>
            </w:r>
          </w:p>
        </w:tc>
        <w:tc>
          <w:tcPr>
            <w:tcW w:w="581" w:type="dxa"/>
            <w:shd w:val="clear" w:color="auto" w:fill="auto"/>
            <w:noWrap/>
            <w:vAlign w:val="bottom"/>
            <w:hideMark/>
          </w:tcPr>
          <w:p w14:paraId="22D75B74"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1.1%</w:t>
            </w:r>
          </w:p>
        </w:tc>
        <w:tc>
          <w:tcPr>
            <w:tcW w:w="314" w:type="dxa"/>
            <w:shd w:val="clear" w:color="auto" w:fill="auto"/>
            <w:noWrap/>
            <w:vAlign w:val="bottom"/>
            <w:hideMark/>
          </w:tcPr>
          <w:p w14:paraId="3ADC3314"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2CA05A1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r w:rsidR="007E17ED" w:rsidRPr="006C2554" w14:paraId="12B41F4E" w14:textId="77777777" w:rsidTr="00A43F44">
        <w:trPr>
          <w:trHeight w:val="273"/>
          <w:jc w:val="center"/>
        </w:trPr>
        <w:tc>
          <w:tcPr>
            <w:tcW w:w="2607" w:type="dxa"/>
            <w:shd w:val="clear" w:color="auto" w:fill="auto"/>
            <w:noWrap/>
            <w:vAlign w:val="center"/>
            <w:hideMark/>
          </w:tcPr>
          <w:p w14:paraId="0BD7D9D3"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 xml:space="preserve">Other Adverse Event </w:t>
            </w:r>
          </w:p>
        </w:tc>
        <w:tc>
          <w:tcPr>
            <w:tcW w:w="483" w:type="dxa"/>
            <w:shd w:val="clear" w:color="auto" w:fill="auto"/>
            <w:noWrap/>
            <w:vAlign w:val="bottom"/>
            <w:hideMark/>
          </w:tcPr>
          <w:p w14:paraId="72CC23E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89" w:type="dxa"/>
            <w:shd w:val="clear" w:color="auto" w:fill="auto"/>
            <w:noWrap/>
            <w:vAlign w:val="bottom"/>
            <w:hideMark/>
          </w:tcPr>
          <w:p w14:paraId="1C8A543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94" w:type="dxa"/>
            <w:shd w:val="clear" w:color="auto" w:fill="auto"/>
            <w:noWrap/>
            <w:vAlign w:val="bottom"/>
            <w:hideMark/>
          </w:tcPr>
          <w:p w14:paraId="01CDD99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88" w:type="dxa"/>
            <w:shd w:val="clear" w:color="auto" w:fill="auto"/>
            <w:noWrap/>
            <w:vAlign w:val="bottom"/>
            <w:hideMark/>
          </w:tcPr>
          <w:p w14:paraId="51202E6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AA0C4A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64A594C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F49B37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0977C5C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483" w:type="dxa"/>
            <w:shd w:val="clear" w:color="auto" w:fill="auto"/>
            <w:noWrap/>
            <w:vAlign w:val="bottom"/>
            <w:hideMark/>
          </w:tcPr>
          <w:p w14:paraId="52EA8D46"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0B3AA28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637AD92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670" w:type="dxa"/>
            <w:shd w:val="clear" w:color="auto" w:fill="auto"/>
            <w:noWrap/>
            <w:vAlign w:val="bottom"/>
            <w:hideMark/>
          </w:tcPr>
          <w:p w14:paraId="7AEAB15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8A3666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4F9D2010"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9E3F60E"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w:t>
            </w:r>
          </w:p>
        </w:tc>
        <w:tc>
          <w:tcPr>
            <w:tcW w:w="581" w:type="dxa"/>
            <w:shd w:val="clear" w:color="auto" w:fill="auto"/>
            <w:noWrap/>
            <w:vAlign w:val="bottom"/>
            <w:hideMark/>
          </w:tcPr>
          <w:p w14:paraId="196354AD" w14:textId="77777777" w:rsidR="007E17ED" w:rsidRPr="006C2554" w:rsidRDefault="007E17ED" w:rsidP="00A43F44">
            <w:pPr>
              <w:spacing w:line="334" w:lineRule="auto"/>
              <w:contextualSpacing/>
              <w:jc w:val="right"/>
              <w:rPr>
                <w:rFonts w:ascii="Arial" w:hAnsi="Arial" w:cs="Arial"/>
                <w:sz w:val="16"/>
                <w:szCs w:val="16"/>
              </w:rPr>
            </w:pPr>
            <w:r w:rsidRPr="006C2554">
              <w:rPr>
                <w:rFonts w:ascii="Arial" w:hAnsi="Arial" w:cs="Arial"/>
                <w:sz w:val="16"/>
                <w:szCs w:val="16"/>
              </w:rPr>
              <w:t>0.0%</w:t>
            </w:r>
          </w:p>
        </w:tc>
      </w:tr>
    </w:tbl>
    <w:p w14:paraId="2321BE7E" w14:textId="77777777" w:rsidR="007E17ED" w:rsidRDefault="007E17ED" w:rsidP="007E17ED">
      <w:pPr>
        <w:tabs>
          <w:tab w:val="left" w:pos="3060"/>
        </w:tabs>
        <w:spacing w:after="0" w:line="334" w:lineRule="auto"/>
        <w:contextualSpacing/>
        <w:rPr>
          <w:rFonts w:ascii="Arial" w:hAnsi="Arial" w:cs="Arial"/>
          <w:b/>
          <w:bCs/>
          <w:i/>
          <w:iCs/>
          <w:color w:val="202124"/>
          <w:sz w:val="15"/>
          <w:szCs w:val="15"/>
          <w:shd w:val="clear" w:color="auto" w:fill="FFFFFF"/>
        </w:rPr>
      </w:pPr>
      <w:r w:rsidRPr="006C2554">
        <w:rPr>
          <w:rFonts w:ascii="Arial" w:hAnsi="Arial" w:cs="Arial"/>
          <w:b/>
          <w:bCs/>
          <w:sz w:val="15"/>
          <w:szCs w:val="15"/>
        </w:rPr>
        <w:t xml:space="preserve">*PLT: </w:t>
      </w:r>
      <w:r w:rsidRPr="006C2554">
        <w:rPr>
          <w:rFonts w:ascii="Arial" w:hAnsi="Arial" w:cs="Arial"/>
          <w:b/>
          <w:bCs/>
          <w:i/>
          <w:iCs/>
          <w:color w:val="202124"/>
          <w:sz w:val="15"/>
          <w:szCs w:val="15"/>
          <w:shd w:val="clear" w:color="auto" w:fill="FFFFFF"/>
        </w:rPr>
        <w:t>Potentially Life-Threatening</w:t>
      </w:r>
    </w:p>
    <w:p w14:paraId="6095A25E" w14:textId="77777777" w:rsidR="007E17ED" w:rsidRPr="006C2554" w:rsidRDefault="007E17ED" w:rsidP="007E17ED">
      <w:pPr>
        <w:tabs>
          <w:tab w:val="left" w:pos="3060"/>
        </w:tabs>
        <w:spacing w:after="0" w:line="334" w:lineRule="auto"/>
        <w:contextualSpacing/>
        <w:rPr>
          <w:rFonts w:ascii="Arial" w:hAnsi="Arial" w:cs="Arial"/>
          <w:b/>
          <w:bCs/>
          <w:i/>
          <w:iCs/>
          <w:color w:val="202124"/>
          <w:sz w:val="15"/>
          <w:szCs w:val="15"/>
          <w:shd w:val="clear" w:color="auto" w:fill="FFFFFF"/>
        </w:rPr>
      </w:pPr>
    </w:p>
    <w:p w14:paraId="6782CBA2" w14:textId="77777777" w:rsidR="007E17ED" w:rsidRPr="006C2554" w:rsidRDefault="007E17ED" w:rsidP="007E17ED">
      <w:pPr>
        <w:tabs>
          <w:tab w:val="left" w:pos="567"/>
        </w:tabs>
        <w:spacing w:after="0" w:line="334" w:lineRule="auto"/>
        <w:contextualSpacing/>
        <w:jc w:val="both"/>
        <w:rPr>
          <w:rFonts w:ascii="Arial" w:hAnsi="Arial" w:cs="Arial"/>
          <w:sz w:val="16"/>
          <w:szCs w:val="16"/>
        </w:rPr>
      </w:pPr>
      <w:r w:rsidRPr="006C2554">
        <w:rPr>
          <w:rFonts w:ascii="Arial" w:hAnsi="Arial" w:cs="Arial"/>
          <w:b/>
          <w:bCs/>
          <w:sz w:val="16"/>
          <w:szCs w:val="16"/>
        </w:rPr>
        <w:t>Table 3.</w:t>
      </w:r>
      <w:r w:rsidRPr="006C2554">
        <w:rPr>
          <w:rFonts w:ascii="Arial" w:hAnsi="Arial" w:cs="Arial"/>
          <w:sz w:val="16"/>
          <w:szCs w:val="16"/>
        </w:rPr>
        <w:t xml:space="preserve"> AEFIs and the severity levels at 24 – 48 hours and 48 hours – 7 days</w:t>
      </w:r>
    </w:p>
    <w:tbl>
      <w:tblPr>
        <w:tblW w:w="10691" w:type="dxa"/>
        <w:jc w:val="center"/>
        <w:tblBorders>
          <w:top w:val="single" w:sz="4" w:space="0" w:color="auto"/>
          <w:bottom w:val="single" w:sz="4" w:space="0" w:color="auto"/>
        </w:tblBorders>
        <w:tblLook w:val="04A0" w:firstRow="1" w:lastRow="0" w:firstColumn="1" w:lastColumn="0" w:noHBand="0" w:noVBand="1"/>
      </w:tblPr>
      <w:tblGrid>
        <w:gridCol w:w="2855"/>
        <w:gridCol w:w="394"/>
        <w:gridCol w:w="741"/>
        <w:gridCol w:w="394"/>
        <w:gridCol w:w="617"/>
        <w:gridCol w:w="314"/>
        <w:gridCol w:w="617"/>
        <w:gridCol w:w="314"/>
        <w:gridCol w:w="617"/>
        <w:gridCol w:w="394"/>
        <w:gridCol w:w="623"/>
        <w:gridCol w:w="314"/>
        <w:gridCol w:w="623"/>
        <w:gridCol w:w="314"/>
        <w:gridCol w:w="623"/>
        <w:gridCol w:w="314"/>
        <w:gridCol w:w="623"/>
      </w:tblGrid>
      <w:tr w:rsidR="007E17ED" w:rsidRPr="006C2554" w14:paraId="4952835E" w14:textId="77777777" w:rsidTr="00A43F44">
        <w:trPr>
          <w:trHeight w:val="272"/>
          <w:jc w:val="center"/>
        </w:trPr>
        <w:tc>
          <w:tcPr>
            <w:tcW w:w="2855" w:type="dxa"/>
            <w:vMerge w:val="restart"/>
            <w:tcBorders>
              <w:top w:val="single" w:sz="4" w:space="0" w:color="auto"/>
              <w:bottom w:val="single" w:sz="4" w:space="0" w:color="auto"/>
            </w:tcBorders>
            <w:shd w:val="clear" w:color="auto" w:fill="auto"/>
            <w:noWrap/>
            <w:vAlign w:val="center"/>
            <w:hideMark/>
          </w:tcPr>
          <w:p w14:paraId="1FCAFDBD"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AEFI</w:t>
            </w:r>
          </w:p>
        </w:tc>
        <w:tc>
          <w:tcPr>
            <w:tcW w:w="4008" w:type="dxa"/>
            <w:gridSpan w:val="8"/>
            <w:tcBorders>
              <w:top w:val="single" w:sz="4" w:space="0" w:color="auto"/>
              <w:bottom w:val="single" w:sz="4" w:space="0" w:color="auto"/>
            </w:tcBorders>
            <w:shd w:val="clear" w:color="auto" w:fill="auto"/>
            <w:noWrap/>
            <w:vAlign w:val="center"/>
            <w:hideMark/>
          </w:tcPr>
          <w:p w14:paraId="4975071D"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24 - 48 hours</w:t>
            </w:r>
          </w:p>
        </w:tc>
        <w:tc>
          <w:tcPr>
            <w:tcW w:w="3828" w:type="dxa"/>
            <w:gridSpan w:val="8"/>
            <w:tcBorders>
              <w:top w:val="single" w:sz="4" w:space="0" w:color="auto"/>
              <w:bottom w:val="single" w:sz="4" w:space="0" w:color="auto"/>
            </w:tcBorders>
            <w:shd w:val="clear" w:color="auto" w:fill="auto"/>
            <w:noWrap/>
            <w:vAlign w:val="center"/>
            <w:hideMark/>
          </w:tcPr>
          <w:p w14:paraId="299EBA01"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48 hours - 7 days</w:t>
            </w:r>
          </w:p>
        </w:tc>
      </w:tr>
      <w:tr w:rsidR="007E17ED" w:rsidRPr="006C2554" w14:paraId="448173DF" w14:textId="77777777" w:rsidTr="00A43F44">
        <w:trPr>
          <w:trHeight w:val="272"/>
          <w:jc w:val="center"/>
        </w:trPr>
        <w:tc>
          <w:tcPr>
            <w:tcW w:w="2855" w:type="dxa"/>
            <w:vMerge/>
            <w:tcBorders>
              <w:top w:val="single" w:sz="4" w:space="0" w:color="auto"/>
              <w:bottom w:val="single" w:sz="4" w:space="0" w:color="auto"/>
            </w:tcBorders>
            <w:vAlign w:val="center"/>
            <w:hideMark/>
          </w:tcPr>
          <w:p w14:paraId="7D86802A" w14:textId="77777777" w:rsidR="007E17ED" w:rsidRPr="006C2554" w:rsidRDefault="007E17ED" w:rsidP="00A43F44">
            <w:pPr>
              <w:spacing w:line="334" w:lineRule="auto"/>
              <w:contextualSpacing/>
              <w:rPr>
                <w:rFonts w:ascii="Arial" w:hAnsi="Arial" w:cs="Arial"/>
                <w:b/>
                <w:bCs/>
                <w:sz w:val="16"/>
                <w:szCs w:val="16"/>
              </w:rPr>
            </w:pPr>
          </w:p>
        </w:tc>
        <w:tc>
          <w:tcPr>
            <w:tcW w:w="1135" w:type="dxa"/>
            <w:gridSpan w:val="2"/>
            <w:tcBorders>
              <w:top w:val="single" w:sz="4" w:space="0" w:color="auto"/>
              <w:bottom w:val="single" w:sz="4" w:space="0" w:color="auto"/>
            </w:tcBorders>
            <w:shd w:val="clear" w:color="auto" w:fill="auto"/>
            <w:noWrap/>
            <w:vAlign w:val="center"/>
            <w:hideMark/>
          </w:tcPr>
          <w:p w14:paraId="2BEFD55A"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Mild</w:t>
            </w:r>
          </w:p>
        </w:tc>
        <w:tc>
          <w:tcPr>
            <w:tcW w:w="1011" w:type="dxa"/>
            <w:gridSpan w:val="2"/>
            <w:tcBorders>
              <w:top w:val="single" w:sz="4" w:space="0" w:color="auto"/>
              <w:bottom w:val="single" w:sz="4" w:space="0" w:color="auto"/>
            </w:tcBorders>
            <w:shd w:val="clear" w:color="auto" w:fill="auto"/>
            <w:noWrap/>
            <w:vAlign w:val="center"/>
            <w:hideMark/>
          </w:tcPr>
          <w:p w14:paraId="2AD8AE8B"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Moderate</w:t>
            </w:r>
          </w:p>
        </w:tc>
        <w:tc>
          <w:tcPr>
            <w:tcW w:w="931" w:type="dxa"/>
            <w:gridSpan w:val="2"/>
            <w:tcBorders>
              <w:top w:val="single" w:sz="4" w:space="0" w:color="auto"/>
              <w:bottom w:val="single" w:sz="4" w:space="0" w:color="auto"/>
            </w:tcBorders>
            <w:shd w:val="clear" w:color="auto" w:fill="auto"/>
            <w:noWrap/>
            <w:vAlign w:val="center"/>
            <w:hideMark/>
          </w:tcPr>
          <w:p w14:paraId="55ACE3F6"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Severe</w:t>
            </w:r>
          </w:p>
        </w:tc>
        <w:tc>
          <w:tcPr>
            <w:tcW w:w="931" w:type="dxa"/>
            <w:gridSpan w:val="2"/>
            <w:tcBorders>
              <w:top w:val="single" w:sz="4" w:space="0" w:color="auto"/>
              <w:bottom w:val="single" w:sz="4" w:space="0" w:color="auto"/>
            </w:tcBorders>
            <w:shd w:val="clear" w:color="auto" w:fill="auto"/>
            <w:noWrap/>
            <w:vAlign w:val="center"/>
            <w:hideMark/>
          </w:tcPr>
          <w:p w14:paraId="64B2298F"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PLT</w:t>
            </w:r>
          </w:p>
        </w:tc>
        <w:tc>
          <w:tcPr>
            <w:tcW w:w="1017" w:type="dxa"/>
            <w:gridSpan w:val="2"/>
            <w:tcBorders>
              <w:top w:val="single" w:sz="4" w:space="0" w:color="auto"/>
              <w:bottom w:val="single" w:sz="4" w:space="0" w:color="auto"/>
            </w:tcBorders>
            <w:shd w:val="clear" w:color="auto" w:fill="auto"/>
            <w:noWrap/>
            <w:vAlign w:val="center"/>
            <w:hideMark/>
          </w:tcPr>
          <w:p w14:paraId="21F140F2"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Mild</w:t>
            </w:r>
          </w:p>
        </w:tc>
        <w:tc>
          <w:tcPr>
            <w:tcW w:w="937" w:type="dxa"/>
            <w:gridSpan w:val="2"/>
            <w:tcBorders>
              <w:top w:val="single" w:sz="4" w:space="0" w:color="auto"/>
              <w:bottom w:val="single" w:sz="4" w:space="0" w:color="auto"/>
            </w:tcBorders>
            <w:shd w:val="clear" w:color="auto" w:fill="auto"/>
            <w:noWrap/>
            <w:vAlign w:val="center"/>
            <w:hideMark/>
          </w:tcPr>
          <w:p w14:paraId="3F555044"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Moderate</w:t>
            </w:r>
          </w:p>
        </w:tc>
        <w:tc>
          <w:tcPr>
            <w:tcW w:w="937" w:type="dxa"/>
            <w:gridSpan w:val="2"/>
            <w:tcBorders>
              <w:top w:val="single" w:sz="4" w:space="0" w:color="auto"/>
              <w:bottom w:val="single" w:sz="4" w:space="0" w:color="auto"/>
            </w:tcBorders>
            <w:shd w:val="clear" w:color="auto" w:fill="auto"/>
            <w:noWrap/>
            <w:vAlign w:val="center"/>
            <w:hideMark/>
          </w:tcPr>
          <w:p w14:paraId="46F51E10"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Severe</w:t>
            </w:r>
          </w:p>
        </w:tc>
        <w:tc>
          <w:tcPr>
            <w:tcW w:w="937" w:type="dxa"/>
            <w:gridSpan w:val="2"/>
            <w:tcBorders>
              <w:top w:val="single" w:sz="4" w:space="0" w:color="auto"/>
              <w:bottom w:val="single" w:sz="4" w:space="0" w:color="auto"/>
            </w:tcBorders>
            <w:shd w:val="clear" w:color="auto" w:fill="auto"/>
            <w:noWrap/>
            <w:vAlign w:val="center"/>
            <w:hideMark/>
          </w:tcPr>
          <w:p w14:paraId="448F3217"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PLT</w:t>
            </w:r>
          </w:p>
        </w:tc>
      </w:tr>
      <w:tr w:rsidR="007E17ED" w:rsidRPr="006C2554" w14:paraId="24E65062" w14:textId="77777777" w:rsidTr="00A43F44">
        <w:trPr>
          <w:trHeight w:val="68"/>
          <w:jc w:val="center"/>
        </w:trPr>
        <w:tc>
          <w:tcPr>
            <w:tcW w:w="2855" w:type="dxa"/>
            <w:vMerge/>
            <w:tcBorders>
              <w:top w:val="single" w:sz="4" w:space="0" w:color="auto"/>
              <w:bottom w:val="single" w:sz="4" w:space="0" w:color="auto"/>
            </w:tcBorders>
            <w:vAlign w:val="center"/>
            <w:hideMark/>
          </w:tcPr>
          <w:p w14:paraId="354711D9" w14:textId="77777777" w:rsidR="007E17ED" w:rsidRPr="006C2554" w:rsidRDefault="007E17ED" w:rsidP="00A43F44">
            <w:pPr>
              <w:spacing w:line="334" w:lineRule="auto"/>
              <w:contextualSpacing/>
              <w:rPr>
                <w:rFonts w:ascii="Arial" w:hAnsi="Arial" w:cs="Arial"/>
                <w:b/>
                <w:bCs/>
                <w:sz w:val="16"/>
                <w:szCs w:val="16"/>
              </w:rPr>
            </w:pPr>
          </w:p>
        </w:tc>
        <w:tc>
          <w:tcPr>
            <w:tcW w:w="394" w:type="dxa"/>
            <w:tcBorders>
              <w:top w:val="single" w:sz="4" w:space="0" w:color="auto"/>
              <w:bottom w:val="single" w:sz="4" w:space="0" w:color="auto"/>
            </w:tcBorders>
            <w:shd w:val="clear" w:color="auto" w:fill="auto"/>
            <w:noWrap/>
            <w:vAlign w:val="center"/>
            <w:hideMark/>
          </w:tcPr>
          <w:p w14:paraId="02847186"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741" w:type="dxa"/>
            <w:tcBorders>
              <w:top w:val="single" w:sz="4" w:space="0" w:color="auto"/>
              <w:bottom w:val="single" w:sz="4" w:space="0" w:color="auto"/>
            </w:tcBorders>
            <w:shd w:val="clear" w:color="auto" w:fill="auto"/>
            <w:noWrap/>
            <w:vAlign w:val="center"/>
            <w:hideMark/>
          </w:tcPr>
          <w:p w14:paraId="2E03E44B"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94" w:type="dxa"/>
            <w:tcBorders>
              <w:top w:val="single" w:sz="4" w:space="0" w:color="auto"/>
              <w:bottom w:val="single" w:sz="4" w:space="0" w:color="auto"/>
            </w:tcBorders>
            <w:shd w:val="clear" w:color="auto" w:fill="auto"/>
            <w:noWrap/>
            <w:vAlign w:val="center"/>
            <w:hideMark/>
          </w:tcPr>
          <w:p w14:paraId="6659D714"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17" w:type="dxa"/>
            <w:tcBorders>
              <w:top w:val="single" w:sz="4" w:space="0" w:color="auto"/>
              <w:bottom w:val="single" w:sz="4" w:space="0" w:color="auto"/>
            </w:tcBorders>
            <w:shd w:val="clear" w:color="auto" w:fill="auto"/>
            <w:noWrap/>
            <w:vAlign w:val="center"/>
            <w:hideMark/>
          </w:tcPr>
          <w:p w14:paraId="1F9D1633"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686966A3"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17" w:type="dxa"/>
            <w:tcBorders>
              <w:top w:val="single" w:sz="4" w:space="0" w:color="auto"/>
              <w:bottom w:val="single" w:sz="4" w:space="0" w:color="auto"/>
            </w:tcBorders>
            <w:shd w:val="clear" w:color="auto" w:fill="auto"/>
            <w:noWrap/>
            <w:vAlign w:val="center"/>
            <w:hideMark/>
          </w:tcPr>
          <w:p w14:paraId="2E935953"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65D6A462"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17" w:type="dxa"/>
            <w:tcBorders>
              <w:top w:val="single" w:sz="4" w:space="0" w:color="auto"/>
              <w:bottom w:val="single" w:sz="4" w:space="0" w:color="auto"/>
            </w:tcBorders>
            <w:shd w:val="clear" w:color="auto" w:fill="auto"/>
            <w:noWrap/>
            <w:vAlign w:val="center"/>
            <w:hideMark/>
          </w:tcPr>
          <w:p w14:paraId="766D3EA1"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94" w:type="dxa"/>
            <w:tcBorders>
              <w:top w:val="single" w:sz="4" w:space="0" w:color="auto"/>
              <w:bottom w:val="single" w:sz="4" w:space="0" w:color="auto"/>
            </w:tcBorders>
            <w:shd w:val="clear" w:color="auto" w:fill="auto"/>
            <w:noWrap/>
            <w:vAlign w:val="center"/>
            <w:hideMark/>
          </w:tcPr>
          <w:p w14:paraId="5808B06E"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23" w:type="dxa"/>
            <w:tcBorders>
              <w:top w:val="single" w:sz="4" w:space="0" w:color="auto"/>
              <w:bottom w:val="single" w:sz="4" w:space="0" w:color="auto"/>
            </w:tcBorders>
            <w:shd w:val="clear" w:color="auto" w:fill="auto"/>
            <w:noWrap/>
            <w:vAlign w:val="center"/>
            <w:hideMark/>
          </w:tcPr>
          <w:p w14:paraId="6065553C"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2A83C081"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23" w:type="dxa"/>
            <w:tcBorders>
              <w:top w:val="single" w:sz="4" w:space="0" w:color="auto"/>
              <w:bottom w:val="single" w:sz="4" w:space="0" w:color="auto"/>
            </w:tcBorders>
            <w:shd w:val="clear" w:color="auto" w:fill="auto"/>
            <w:noWrap/>
            <w:vAlign w:val="center"/>
            <w:hideMark/>
          </w:tcPr>
          <w:p w14:paraId="1B7CE94F"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220F4A60"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23" w:type="dxa"/>
            <w:tcBorders>
              <w:top w:val="single" w:sz="4" w:space="0" w:color="auto"/>
              <w:bottom w:val="single" w:sz="4" w:space="0" w:color="auto"/>
            </w:tcBorders>
            <w:shd w:val="clear" w:color="auto" w:fill="auto"/>
            <w:noWrap/>
            <w:vAlign w:val="center"/>
            <w:hideMark/>
          </w:tcPr>
          <w:p w14:paraId="3FA51413"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c>
          <w:tcPr>
            <w:tcW w:w="314" w:type="dxa"/>
            <w:tcBorders>
              <w:top w:val="single" w:sz="4" w:space="0" w:color="auto"/>
              <w:bottom w:val="single" w:sz="4" w:space="0" w:color="auto"/>
            </w:tcBorders>
            <w:shd w:val="clear" w:color="auto" w:fill="auto"/>
            <w:noWrap/>
            <w:vAlign w:val="center"/>
            <w:hideMark/>
          </w:tcPr>
          <w:p w14:paraId="3AFFF684"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n</w:t>
            </w:r>
          </w:p>
        </w:tc>
        <w:tc>
          <w:tcPr>
            <w:tcW w:w="623" w:type="dxa"/>
            <w:tcBorders>
              <w:top w:val="single" w:sz="4" w:space="0" w:color="auto"/>
              <w:bottom w:val="single" w:sz="4" w:space="0" w:color="auto"/>
            </w:tcBorders>
            <w:shd w:val="clear" w:color="auto" w:fill="auto"/>
            <w:noWrap/>
            <w:vAlign w:val="center"/>
            <w:hideMark/>
          </w:tcPr>
          <w:p w14:paraId="08A10916"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w:t>
            </w:r>
          </w:p>
        </w:tc>
      </w:tr>
      <w:tr w:rsidR="007E17ED" w:rsidRPr="006C2554" w14:paraId="3B276A9F" w14:textId="77777777" w:rsidTr="00A43F44">
        <w:trPr>
          <w:trHeight w:val="272"/>
          <w:jc w:val="center"/>
        </w:trPr>
        <w:tc>
          <w:tcPr>
            <w:tcW w:w="2855" w:type="dxa"/>
            <w:tcBorders>
              <w:top w:val="single" w:sz="4" w:space="0" w:color="auto"/>
            </w:tcBorders>
            <w:shd w:val="clear" w:color="auto" w:fill="auto"/>
            <w:noWrap/>
            <w:vAlign w:val="center"/>
            <w:hideMark/>
          </w:tcPr>
          <w:p w14:paraId="32A68CB4"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xml:space="preserve">Local Adverse Events </w:t>
            </w:r>
          </w:p>
        </w:tc>
        <w:tc>
          <w:tcPr>
            <w:tcW w:w="394" w:type="dxa"/>
            <w:tcBorders>
              <w:top w:val="single" w:sz="4" w:space="0" w:color="auto"/>
            </w:tcBorders>
            <w:shd w:val="clear" w:color="auto" w:fill="auto"/>
            <w:noWrap/>
            <w:vAlign w:val="bottom"/>
            <w:hideMark/>
          </w:tcPr>
          <w:p w14:paraId="3A70ABB5"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741" w:type="dxa"/>
            <w:tcBorders>
              <w:top w:val="single" w:sz="4" w:space="0" w:color="auto"/>
            </w:tcBorders>
            <w:shd w:val="clear" w:color="auto" w:fill="auto"/>
            <w:noWrap/>
            <w:vAlign w:val="bottom"/>
            <w:hideMark/>
          </w:tcPr>
          <w:p w14:paraId="0F782230"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94" w:type="dxa"/>
            <w:tcBorders>
              <w:top w:val="single" w:sz="4" w:space="0" w:color="auto"/>
            </w:tcBorders>
            <w:shd w:val="clear" w:color="auto" w:fill="auto"/>
            <w:noWrap/>
            <w:vAlign w:val="bottom"/>
            <w:hideMark/>
          </w:tcPr>
          <w:p w14:paraId="0EC44057"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tcBorders>
              <w:top w:val="single" w:sz="4" w:space="0" w:color="auto"/>
            </w:tcBorders>
            <w:shd w:val="clear" w:color="auto" w:fill="auto"/>
            <w:noWrap/>
            <w:vAlign w:val="bottom"/>
            <w:hideMark/>
          </w:tcPr>
          <w:p w14:paraId="19E5063A"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022C9087"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tcBorders>
              <w:top w:val="single" w:sz="4" w:space="0" w:color="auto"/>
            </w:tcBorders>
            <w:shd w:val="clear" w:color="auto" w:fill="auto"/>
            <w:noWrap/>
            <w:vAlign w:val="bottom"/>
            <w:hideMark/>
          </w:tcPr>
          <w:p w14:paraId="02B13A07"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640BCDC0"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tcBorders>
              <w:top w:val="single" w:sz="4" w:space="0" w:color="auto"/>
            </w:tcBorders>
            <w:shd w:val="clear" w:color="auto" w:fill="auto"/>
            <w:noWrap/>
            <w:vAlign w:val="bottom"/>
            <w:hideMark/>
          </w:tcPr>
          <w:p w14:paraId="33E119DC"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94" w:type="dxa"/>
            <w:tcBorders>
              <w:top w:val="single" w:sz="4" w:space="0" w:color="auto"/>
            </w:tcBorders>
            <w:shd w:val="clear" w:color="auto" w:fill="auto"/>
            <w:noWrap/>
            <w:vAlign w:val="bottom"/>
            <w:hideMark/>
          </w:tcPr>
          <w:p w14:paraId="5DA9DA52"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23" w:type="dxa"/>
            <w:tcBorders>
              <w:top w:val="single" w:sz="4" w:space="0" w:color="auto"/>
            </w:tcBorders>
            <w:shd w:val="clear" w:color="auto" w:fill="auto"/>
            <w:noWrap/>
            <w:vAlign w:val="bottom"/>
            <w:hideMark/>
          </w:tcPr>
          <w:p w14:paraId="58296DFB"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486D0921"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23" w:type="dxa"/>
            <w:tcBorders>
              <w:top w:val="single" w:sz="4" w:space="0" w:color="auto"/>
            </w:tcBorders>
            <w:shd w:val="clear" w:color="auto" w:fill="auto"/>
            <w:noWrap/>
            <w:vAlign w:val="bottom"/>
            <w:hideMark/>
          </w:tcPr>
          <w:p w14:paraId="1A0413C1"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297681A5"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23" w:type="dxa"/>
            <w:tcBorders>
              <w:top w:val="single" w:sz="4" w:space="0" w:color="auto"/>
            </w:tcBorders>
            <w:shd w:val="clear" w:color="auto" w:fill="auto"/>
            <w:noWrap/>
            <w:vAlign w:val="bottom"/>
            <w:hideMark/>
          </w:tcPr>
          <w:p w14:paraId="42586910"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tcBorders>
              <w:top w:val="single" w:sz="4" w:space="0" w:color="auto"/>
            </w:tcBorders>
            <w:shd w:val="clear" w:color="auto" w:fill="auto"/>
            <w:noWrap/>
            <w:vAlign w:val="bottom"/>
            <w:hideMark/>
          </w:tcPr>
          <w:p w14:paraId="54C367A6"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23" w:type="dxa"/>
            <w:tcBorders>
              <w:top w:val="single" w:sz="4" w:space="0" w:color="auto"/>
            </w:tcBorders>
            <w:shd w:val="clear" w:color="auto" w:fill="auto"/>
            <w:noWrap/>
            <w:vAlign w:val="bottom"/>
            <w:hideMark/>
          </w:tcPr>
          <w:p w14:paraId="676C272A"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r>
      <w:tr w:rsidR="007E17ED" w:rsidRPr="006C2554" w14:paraId="60D78860" w14:textId="77777777" w:rsidTr="00A43F44">
        <w:trPr>
          <w:trHeight w:val="272"/>
          <w:jc w:val="center"/>
        </w:trPr>
        <w:tc>
          <w:tcPr>
            <w:tcW w:w="2855" w:type="dxa"/>
            <w:shd w:val="clear" w:color="auto" w:fill="auto"/>
            <w:noWrap/>
            <w:vAlign w:val="center"/>
            <w:hideMark/>
          </w:tcPr>
          <w:p w14:paraId="723232F8"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Pain at the injection site</w:t>
            </w:r>
          </w:p>
        </w:tc>
        <w:tc>
          <w:tcPr>
            <w:tcW w:w="394" w:type="dxa"/>
            <w:shd w:val="clear" w:color="auto" w:fill="auto"/>
            <w:noWrap/>
            <w:vAlign w:val="bottom"/>
            <w:hideMark/>
          </w:tcPr>
          <w:p w14:paraId="0ADA52C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72</w:t>
            </w:r>
          </w:p>
        </w:tc>
        <w:tc>
          <w:tcPr>
            <w:tcW w:w="741" w:type="dxa"/>
            <w:shd w:val="clear" w:color="auto" w:fill="auto"/>
            <w:noWrap/>
            <w:vAlign w:val="bottom"/>
            <w:hideMark/>
          </w:tcPr>
          <w:p w14:paraId="74A73BF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27.6%</w:t>
            </w:r>
          </w:p>
        </w:tc>
        <w:tc>
          <w:tcPr>
            <w:tcW w:w="394" w:type="dxa"/>
            <w:shd w:val="clear" w:color="auto" w:fill="auto"/>
            <w:noWrap/>
            <w:vAlign w:val="bottom"/>
            <w:hideMark/>
          </w:tcPr>
          <w:p w14:paraId="4EB3729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w:t>
            </w:r>
          </w:p>
        </w:tc>
        <w:tc>
          <w:tcPr>
            <w:tcW w:w="617" w:type="dxa"/>
            <w:shd w:val="clear" w:color="auto" w:fill="auto"/>
            <w:noWrap/>
            <w:vAlign w:val="bottom"/>
            <w:hideMark/>
          </w:tcPr>
          <w:p w14:paraId="5540671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1.1%</w:t>
            </w:r>
          </w:p>
        </w:tc>
        <w:tc>
          <w:tcPr>
            <w:tcW w:w="314" w:type="dxa"/>
            <w:shd w:val="clear" w:color="auto" w:fill="auto"/>
            <w:noWrap/>
            <w:vAlign w:val="bottom"/>
            <w:hideMark/>
          </w:tcPr>
          <w:p w14:paraId="22BEF15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123C406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C7EE3E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1AF9781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6F8026F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2650A6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94C344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B7E907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178E4B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5EA54B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9C1827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FB7FFA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134FA9C6" w14:textId="77777777" w:rsidTr="00A43F44">
        <w:trPr>
          <w:trHeight w:val="272"/>
          <w:jc w:val="center"/>
        </w:trPr>
        <w:tc>
          <w:tcPr>
            <w:tcW w:w="2855" w:type="dxa"/>
            <w:shd w:val="clear" w:color="auto" w:fill="auto"/>
            <w:noWrap/>
            <w:vAlign w:val="center"/>
            <w:hideMark/>
          </w:tcPr>
          <w:p w14:paraId="4797BB7E"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Redness/Erythema</w:t>
            </w:r>
          </w:p>
        </w:tc>
        <w:tc>
          <w:tcPr>
            <w:tcW w:w="394" w:type="dxa"/>
            <w:shd w:val="clear" w:color="auto" w:fill="auto"/>
            <w:noWrap/>
            <w:vAlign w:val="bottom"/>
            <w:hideMark/>
          </w:tcPr>
          <w:p w14:paraId="2300AAD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7</w:t>
            </w:r>
          </w:p>
        </w:tc>
        <w:tc>
          <w:tcPr>
            <w:tcW w:w="741" w:type="dxa"/>
            <w:shd w:val="clear" w:color="auto" w:fill="auto"/>
            <w:noWrap/>
            <w:vAlign w:val="bottom"/>
            <w:hideMark/>
          </w:tcPr>
          <w:p w14:paraId="6BA6BA5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2.7%</w:t>
            </w:r>
          </w:p>
        </w:tc>
        <w:tc>
          <w:tcPr>
            <w:tcW w:w="394" w:type="dxa"/>
            <w:shd w:val="clear" w:color="auto" w:fill="auto"/>
            <w:noWrap/>
            <w:vAlign w:val="bottom"/>
            <w:hideMark/>
          </w:tcPr>
          <w:p w14:paraId="7646A8D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FC7294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6874A0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6F30DCF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098EBE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59FF65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4B9F1C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0C7DED9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60F679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8068B4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E1A518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2B671F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C40283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452B0A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2F6B8139" w14:textId="77777777" w:rsidTr="00A43F44">
        <w:trPr>
          <w:trHeight w:val="272"/>
          <w:jc w:val="center"/>
        </w:trPr>
        <w:tc>
          <w:tcPr>
            <w:tcW w:w="2855" w:type="dxa"/>
            <w:shd w:val="clear" w:color="auto" w:fill="auto"/>
            <w:noWrap/>
            <w:vAlign w:val="center"/>
            <w:hideMark/>
          </w:tcPr>
          <w:p w14:paraId="7230BFC2"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Swelling/induration</w:t>
            </w:r>
          </w:p>
        </w:tc>
        <w:tc>
          <w:tcPr>
            <w:tcW w:w="394" w:type="dxa"/>
            <w:shd w:val="clear" w:color="auto" w:fill="auto"/>
            <w:noWrap/>
            <w:vAlign w:val="bottom"/>
            <w:hideMark/>
          </w:tcPr>
          <w:p w14:paraId="5339637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13</w:t>
            </w:r>
          </w:p>
        </w:tc>
        <w:tc>
          <w:tcPr>
            <w:tcW w:w="741" w:type="dxa"/>
            <w:shd w:val="clear" w:color="auto" w:fill="auto"/>
            <w:noWrap/>
            <w:vAlign w:val="bottom"/>
            <w:hideMark/>
          </w:tcPr>
          <w:p w14:paraId="5BA9E54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5.0%</w:t>
            </w:r>
          </w:p>
        </w:tc>
        <w:tc>
          <w:tcPr>
            <w:tcW w:w="394" w:type="dxa"/>
            <w:shd w:val="clear" w:color="auto" w:fill="auto"/>
            <w:noWrap/>
            <w:vAlign w:val="bottom"/>
            <w:hideMark/>
          </w:tcPr>
          <w:p w14:paraId="1FCEE51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5F3656B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2A9F51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D2C2CD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2C080B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5E16625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1BC8760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465E2F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3C1A69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37213FA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194D8F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654650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EB3B91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0FCFBBF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77EBEDB5" w14:textId="77777777" w:rsidTr="00A43F44">
        <w:trPr>
          <w:trHeight w:val="272"/>
          <w:jc w:val="center"/>
        </w:trPr>
        <w:tc>
          <w:tcPr>
            <w:tcW w:w="2855" w:type="dxa"/>
            <w:shd w:val="clear" w:color="auto" w:fill="auto"/>
            <w:noWrap/>
            <w:vAlign w:val="center"/>
            <w:hideMark/>
          </w:tcPr>
          <w:p w14:paraId="4A4936E8"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 xml:space="preserve">Itching/Pruritus associated with injection </w:t>
            </w:r>
          </w:p>
        </w:tc>
        <w:tc>
          <w:tcPr>
            <w:tcW w:w="394" w:type="dxa"/>
            <w:shd w:val="clear" w:color="auto" w:fill="auto"/>
            <w:noWrap/>
            <w:vAlign w:val="bottom"/>
            <w:hideMark/>
          </w:tcPr>
          <w:p w14:paraId="75CC3BE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9</w:t>
            </w:r>
          </w:p>
        </w:tc>
        <w:tc>
          <w:tcPr>
            <w:tcW w:w="741" w:type="dxa"/>
            <w:shd w:val="clear" w:color="auto" w:fill="auto"/>
            <w:noWrap/>
            <w:vAlign w:val="bottom"/>
            <w:hideMark/>
          </w:tcPr>
          <w:p w14:paraId="3722A35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3.4%</w:t>
            </w:r>
          </w:p>
        </w:tc>
        <w:tc>
          <w:tcPr>
            <w:tcW w:w="394" w:type="dxa"/>
            <w:shd w:val="clear" w:color="auto" w:fill="auto"/>
            <w:noWrap/>
            <w:vAlign w:val="bottom"/>
            <w:hideMark/>
          </w:tcPr>
          <w:p w14:paraId="46E0669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29CD8F7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E05C0C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DC1E93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31BAE2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77F5E91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FFBCAA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699B5F6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8A71B3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23" w:type="dxa"/>
            <w:shd w:val="clear" w:color="auto" w:fill="auto"/>
            <w:noWrap/>
            <w:vAlign w:val="bottom"/>
            <w:hideMark/>
          </w:tcPr>
          <w:p w14:paraId="0DCB634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4EAB3B0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A0579C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F1CA9A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69A4F22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360D6549" w14:textId="77777777" w:rsidTr="00A43F44">
        <w:trPr>
          <w:trHeight w:val="272"/>
          <w:jc w:val="center"/>
        </w:trPr>
        <w:tc>
          <w:tcPr>
            <w:tcW w:w="2855" w:type="dxa"/>
            <w:shd w:val="clear" w:color="auto" w:fill="auto"/>
            <w:noWrap/>
            <w:vAlign w:val="center"/>
            <w:hideMark/>
          </w:tcPr>
          <w:p w14:paraId="310B2387" w14:textId="77777777" w:rsidR="007E17ED" w:rsidRPr="006C2554" w:rsidRDefault="007E17ED" w:rsidP="00A43F44">
            <w:pPr>
              <w:spacing w:line="334" w:lineRule="auto"/>
              <w:contextualSpacing/>
              <w:rPr>
                <w:rFonts w:ascii="Arial" w:hAnsi="Arial" w:cs="Arial"/>
                <w:b/>
                <w:bCs/>
                <w:sz w:val="16"/>
                <w:szCs w:val="16"/>
              </w:rPr>
            </w:pPr>
            <w:r w:rsidRPr="006C2554">
              <w:rPr>
                <w:rFonts w:ascii="Arial" w:hAnsi="Arial" w:cs="Arial"/>
                <w:b/>
                <w:bCs/>
                <w:sz w:val="16"/>
                <w:szCs w:val="16"/>
              </w:rPr>
              <w:t xml:space="preserve">Systemic Adverse Events </w:t>
            </w:r>
          </w:p>
        </w:tc>
        <w:tc>
          <w:tcPr>
            <w:tcW w:w="394" w:type="dxa"/>
            <w:shd w:val="clear" w:color="auto" w:fill="auto"/>
            <w:noWrap/>
            <w:vAlign w:val="bottom"/>
            <w:hideMark/>
          </w:tcPr>
          <w:p w14:paraId="135EC5BE"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741" w:type="dxa"/>
            <w:shd w:val="clear" w:color="auto" w:fill="auto"/>
            <w:noWrap/>
            <w:vAlign w:val="bottom"/>
            <w:hideMark/>
          </w:tcPr>
          <w:p w14:paraId="35D4B961"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94" w:type="dxa"/>
            <w:shd w:val="clear" w:color="auto" w:fill="auto"/>
            <w:noWrap/>
            <w:vAlign w:val="bottom"/>
            <w:hideMark/>
          </w:tcPr>
          <w:p w14:paraId="3CD89049"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shd w:val="clear" w:color="auto" w:fill="auto"/>
            <w:noWrap/>
            <w:vAlign w:val="bottom"/>
            <w:hideMark/>
          </w:tcPr>
          <w:p w14:paraId="5B241663"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shd w:val="clear" w:color="auto" w:fill="auto"/>
            <w:noWrap/>
            <w:vAlign w:val="bottom"/>
            <w:hideMark/>
          </w:tcPr>
          <w:p w14:paraId="127BB3F3"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shd w:val="clear" w:color="auto" w:fill="auto"/>
            <w:noWrap/>
            <w:vAlign w:val="bottom"/>
            <w:hideMark/>
          </w:tcPr>
          <w:p w14:paraId="2EB33EE8"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14" w:type="dxa"/>
            <w:shd w:val="clear" w:color="auto" w:fill="auto"/>
            <w:noWrap/>
            <w:vAlign w:val="bottom"/>
            <w:hideMark/>
          </w:tcPr>
          <w:p w14:paraId="2D8104A7"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617" w:type="dxa"/>
            <w:shd w:val="clear" w:color="auto" w:fill="auto"/>
            <w:noWrap/>
            <w:vAlign w:val="bottom"/>
            <w:hideMark/>
          </w:tcPr>
          <w:p w14:paraId="499C4140" w14:textId="77777777" w:rsidR="007E17ED" w:rsidRPr="006C2554" w:rsidRDefault="007E17ED" w:rsidP="00A43F44">
            <w:pPr>
              <w:spacing w:line="334" w:lineRule="auto"/>
              <w:contextualSpacing/>
              <w:jc w:val="center"/>
              <w:rPr>
                <w:rFonts w:ascii="Arial" w:hAnsi="Arial" w:cs="Arial"/>
                <w:b/>
                <w:bCs/>
                <w:sz w:val="16"/>
                <w:szCs w:val="16"/>
              </w:rPr>
            </w:pPr>
            <w:r w:rsidRPr="006C2554">
              <w:rPr>
                <w:rFonts w:ascii="Arial" w:hAnsi="Arial" w:cs="Arial"/>
                <w:b/>
                <w:bCs/>
                <w:sz w:val="16"/>
                <w:szCs w:val="16"/>
              </w:rPr>
              <w:t> </w:t>
            </w:r>
          </w:p>
        </w:tc>
        <w:tc>
          <w:tcPr>
            <w:tcW w:w="394" w:type="dxa"/>
            <w:shd w:val="clear" w:color="auto" w:fill="auto"/>
            <w:noWrap/>
            <w:vAlign w:val="bottom"/>
            <w:hideMark/>
          </w:tcPr>
          <w:p w14:paraId="0A80122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623" w:type="dxa"/>
            <w:shd w:val="clear" w:color="auto" w:fill="auto"/>
            <w:noWrap/>
            <w:vAlign w:val="bottom"/>
            <w:hideMark/>
          </w:tcPr>
          <w:p w14:paraId="6E44930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314" w:type="dxa"/>
            <w:shd w:val="clear" w:color="auto" w:fill="auto"/>
            <w:noWrap/>
            <w:vAlign w:val="bottom"/>
            <w:hideMark/>
          </w:tcPr>
          <w:p w14:paraId="57C9EE0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623" w:type="dxa"/>
            <w:shd w:val="clear" w:color="auto" w:fill="auto"/>
            <w:noWrap/>
            <w:vAlign w:val="bottom"/>
            <w:hideMark/>
          </w:tcPr>
          <w:p w14:paraId="78BD651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314" w:type="dxa"/>
            <w:shd w:val="clear" w:color="auto" w:fill="auto"/>
            <w:noWrap/>
            <w:vAlign w:val="bottom"/>
            <w:hideMark/>
          </w:tcPr>
          <w:p w14:paraId="14DB5E4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623" w:type="dxa"/>
            <w:shd w:val="clear" w:color="auto" w:fill="auto"/>
            <w:noWrap/>
            <w:vAlign w:val="bottom"/>
            <w:hideMark/>
          </w:tcPr>
          <w:p w14:paraId="3EBC6B4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314" w:type="dxa"/>
            <w:shd w:val="clear" w:color="auto" w:fill="auto"/>
            <w:noWrap/>
            <w:vAlign w:val="bottom"/>
            <w:hideMark/>
          </w:tcPr>
          <w:p w14:paraId="5D6CB0C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 </w:t>
            </w:r>
          </w:p>
        </w:tc>
        <w:tc>
          <w:tcPr>
            <w:tcW w:w="623" w:type="dxa"/>
            <w:shd w:val="clear" w:color="auto" w:fill="auto"/>
            <w:noWrap/>
            <w:vAlign w:val="bottom"/>
            <w:hideMark/>
          </w:tcPr>
          <w:p w14:paraId="2DC6934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 </w:t>
            </w:r>
          </w:p>
        </w:tc>
      </w:tr>
      <w:tr w:rsidR="007E17ED" w:rsidRPr="006C2554" w14:paraId="4F89AAFD" w14:textId="77777777" w:rsidTr="00A43F44">
        <w:trPr>
          <w:trHeight w:val="272"/>
          <w:jc w:val="center"/>
        </w:trPr>
        <w:tc>
          <w:tcPr>
            <w:tcW w:w="2855" w:type="dxa"/>
            <w:shd w:val="clear" w:color="auto" w:fill="auto"/>
            <w:noWrap/>
            <w:vAlign w:val="center"/>
            <w:hideMark/>
          </w:tcPr>
          <w:p w14:paraId="3AF36E79"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Pain in the legs</w:t>
            </w:r>
          </w:p>
        </w:tc>
        <w:tc>
          <w:tcPr>
            <w:tcW w:w="394" w:type="dxa"/>
            <w:shd w:val="clear" w:color="auto" w:fill="auto"/>
            <w:noWrap/>
            <w:vAlign w:val="bottom"/>
            <w:hideMark/>
          </w:tcPr>
          <w:p w14:paraId="27E1E05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16</w:t>
            </w:r>
          </w:p>
        </w:tc>
        <w:tc>
          <w:tcPr>
            <w:tcW w:w="741" w:type="dxa"/>
            <w:shd w:val="clear" w:color="auto" w:fill="auto"/>
            <w:noWrap/>
            <w:vAlign w:val="bottom"/>
            <w:hideMark/>
          </w:tcPr>
          <w:p w14:paraId="1F682EE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6.1%</w:t>
            </w:r>
          </w:p>
        </w:tc>
        <w:tc>
          <w:tcPr>
            <w:tcW w:w="394" w:type="dxa"/>
            <w:shd w:val="clear" w:color="auto" w:fill="auto"/>
            <w:noWrap/>
            <w:vAlign w:val="bottom"/>
            <w:hideMark/>
          </w:tcPr>
          <w:p w14:paraId="7ADCA18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17" w:type="dxa"/>
            <w:shd w:val="clear" w:color="auto" w:fill="auto"/>
            <w:noWrap/>
            <w:vAlign w:val="bottom"/>
            <w:hideMark/>
          </w:tcPr>
          <w:p w14:paraId="7D2D555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4F2FC55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76B2999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CBBCAF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B654E4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4879B62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7</w:t>
            </w:r>
          </w:p>
        </w:tc>
        <w:tc>
          <w:tcPr>
            <w:tcW w:w="623" w:type="dxa"/>
            <w:shd w:val="clear" w:color="auto" w:fill="auto"/>
            <w:noWrap/>
            <w:vAlign w:val="bottom"/>
            <w:hideMark/>
          </w:tcPr>
          <w:p w14:paraId="004D589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2.7%</w:t>
            </w:r>
          </w:p>
        </w:tc>
        <w:tc>
          <w:tcPr>
            <w:tcW w:w="314" w:type="dxa"/>
            <w:shd w:val="clear" w:color="auto" w:fill="auto"/>
            <w:noWrap/>
            <w:vAlign w:val="bottom"/>
            <w:hideMark/>
          </w:tcPr>
          <w:p w14:paraId="324BBC8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E8D02B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2AE86D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C76D35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595D10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F7FA92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6463441A" w14:textId="77777777" w:rsidTr="00A43F44">
        <w:trPr>
          <w:trHeight w:val="272"/>
          <w:jc w:val="center"/>
        </w:trPr>
        <w:tc>
          <w:tcPr>
            <w:tcW w:w="2855" w:type="dxa"/>
            <w:shd w:val="clear" w:color="auto" w:fill="auto"/>
            <w:noWrap/>
            <w:vAlign w:val="center"/>
            <w:hideMark/>
          </w:tcPr>
          <w:p w14:paraId="6F7199FA"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Fever</w:t>
            </w:r>
          </w:p>
        </w:tc>
        <w:tc>
          <w:tcPr>
            <w:tcW w:w="394" w:type="dxa"/>
            <w:shd w:val="clear" w:color="auto" w:fill="auto"/>
            <w:noWrap/>
            <w:vAlign w:val="bottom"/>
            <w:hideMark/>
          </w:tcPr>
          <w:p w14:paraId="742D058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26</w:t>
            </w:r>
          </w:p>
        </w:tc>
        <w:tc>
          <w:tcPr>
            <w:tcW w:w="741" w:type="dxa"/>
            <w:shd w:val="clear" w:color="auto" w:fill="auto"/>
            <w:noWrap/>
            <w:vAlign w:val="bottom"/>
            <w:hideMark/>
          </w:tcPr>
          <w:p w14:paraId="7E38FF1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10.0%</w:t>
            </w:r>
          </w:p>
        </w:tc>
        <w:tc>
          <w:tcPr>
            <w:tcW w:w="394" w:type="dxa"/>
            <w:shd w:val="clear" w:color="auto" w:fill="auto"/>
            <w:noWrap/>
            <w:vAlign w:val="bottom"/>
            <w:hideMark/>
          </w:tcPr>
          <w:p w14:paraId="6B9F6F2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5E78C60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A51A25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8CD5BA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94258D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1157AA1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6B24263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9</w:t>
            </w:r>
          </w:p>
        </w:tc>
        <w:tc>
          <w:tcPr>
            <w:tcW w:w="623" w:type="dxa"/>
            <w:shd w:val="clear" w:color="auto" w:fill="auto"/>
            <w:noWrap/>
            <w:vAlign w:val="bottom"/>
            <w:hideMark/>
          </w:tcPr>
          <w:p w14:paraId="64DAF63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3.4%</w:t>
            </w:r>
          </w:p>
        </w:tc>
        <w:tc>
          <w:tcPr>
            <w:tcW w:w="314" w:type="dxa"/>
            <w:shd w:val="clear" w:color="auto" w:fill="auto"/>
            <w:noWrap/>
            <w:vAlign w:val="bottom"/>
            <w:hideMark/>
          </w:tcPr>
          <w:p w14:paraId="3F24FEC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094F5E8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4EB38E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0EF24B5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041DBA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995016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074B3CCB" w14:textId="77777777" w:rsidTr="00A43F44">
        <w:trPr>
          <w:trHeight w:val="272"/>
          <w:jc w:val="center"/>
        </w:trPr>
        <w:tc>
          <w:tcPr>
            <w:tcW w:w="2855" w:type="dxa"/>
            <w:shd w:val="clear" w:color="auto" w:fill="auto"/>
            <w:noWrap/>
            <w:vAlign w:val="center"/>
            <w:hideMark/>
          </w:tcPr>
          <w:p w14:paraId="4F387B87"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Nausea/ Vomiting</w:t>
            </w:r>
          </w:p>
        </w:tc>
        <w:tc>
          <w:tcPr>
            <w:tcW w:w="394" w:type="dxa"/>
            <w:shd w:val="clear" w:color="auto" w:fill="auto"/>
            <w:noWrap/>
            <w:vAlign w:val="bottom"/>
            <w:hideMark/>
          </w:tcPr>
          <w:p w14:paraId="44E7BAF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741" w:type="dxa"/>
            <w:shd w:val="clear" w:color="auto" w:fill="auto"/>
            <w:noWrap/>
            <w:vAlign w:val="bottom"/>
            <w:hideMark/>
          </w:tcPr>
          <w:p w14:paraId="08FC762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94" w:type="dxa"/>
            <w:shd w:val="clear" w:color="auto" w:fill="auto"/>
            <w:noWrap/>
            <w:vAlign w:val="bottom"/>
            <w:hideMark/>
          </w:tcPr>
          <w:p w14:paraId="584DFA5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17" w:type="dxa"/>
            <w:shd w:val="clear" w:color="auto" w:fill="auto"/>
            <w:noWrap/>
            <w:vAlign w:val="bottom"/>
            <w:hideMark/>
          </w:tcPr>
          <w:p w14:paraId="428956E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9D70B4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9D92B5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B6176E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51C9B1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7576D39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w:t>
            </w:r>
          </w:p>
        </w:tc>
        <w:tc>
          <w:tcPr>
            <w:tcW w:w="623" w:type="dxa"/>
            <w:shd w:val="clear" w:color="auto" w:fill="auto"/>
            <w:noWrap/>
            <w:vAlign w:val="bottom"/>
            <w:hideMark/>
          </w:tcPr>
          <w:p w14:paraId="6AA11D7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0.8%</w:t>
            </w:r>
          </w:p>
        </w:tc>
        <w:tc>
          <w:tcPr>
            <w:tcW w:w="314" w:type="dxa"/>
            <w:shd w:val="clear" w:color="auto" w:fill="auto"/>
            <w:noWrap/>
            <w:vAlign w:val="bottom"/>
            <w:hideMark/>
          </w:tcPr>
          <w:p w14:paraId="41F3C8E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06E1C2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B3A074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C35770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A24DBC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3113C8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327243A8" w14:textId="77777777" w:rsidTr="00A43F44">
        <w:trPr>
          <w:trHeight w:val="272"/>
          <w:jc w:val="center"/>
        </w:trPr>
        <w:tc>
          <w:tcPr>
            <w:tcW w:w="2855" w:type="dxa"/>
            <w:shd w:val="clear" w:color="auto" w:fill="auto"/>
            <w:noWrap/>
            <w:vAlign w:val="center"/>
            <w:hideMark/>
          </w:tcPr>
          <w:p w14:paraId="6C67EAFF"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 xml:space="preserve">Headache  </w:t>
            </w:r>
          </w:p>
        </w:tc>
        <w:tc>
          <w:tcPr>
            <w:tcW w:w="394" w:type="dxa"/>
            <w:shd w:val="clear" w:color="auto" w:fill="auto"/>
            <w:noWrap/>
            <w:vAlign w:val="bottom"/>
            <w:hideMark/>
          </w:tcPr>
          <w:p w14:paraId="69AF1BC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32</w:t>
            </w:r>
          </w:p>
        </w:tc>
        <w:tc>
          <w:tcPr>
            <w:tcW w:w="741" w:type="dxa"/>
            <w:shd w:val="clear" w:color="auto" w:fill="auto"/>
            <w:noWrap/>
            <w:vAlign w:val="bottom"/>
            <w:hideMark/>
          </w:tcPr>
          <w:p w14:paraId="7DC9140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12.3%</w:t>
            </w:r>
          </w:p>
        </w:tc>
        <w:tc>
          <w:tcPr>
            <w:tcW w:w="394" w:type="dxa"/>
            <w:shd w:val="clear" w:color="auto" w:fill="auto"/>
            <w:noWrap/>
            <w:vAlign w:val="bottom"/>
            <w:hideMark/>
          </w:tcPr>
          <w:p w14:paraId="26124AF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5</w:t>
            </w:r>
          </w:p>
        </w:tc>
        <w:tc>
          <w:tcPr>
            <w:tcW w:w="617" w:type="dxa"/>
            <w:shd w:val="clear" w:color="auto" w:fill="auto"/>
            <w:noWrap/>
            <w:vAlign w:val="bottom"/>
            <w:hideMark/>
          </w:tcPr>
          <w:p w14:paraId="26D32B2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1.9%</w:t>
            </w:r>
          </w:p>
        </w:tc>
        <w:tc>
          <w:tcPr>
            <w:tcW w:w="314" w:type="dxa"/>
            <w:shd w:val="clear" w:color="auto" w:fill="auto"/>
            <w:noWrap/>
            <w:vAlign w:val="bottom"/>
            <w:hideMark/>
          </w:tcPr>
          <w:p w14:paraId="0E2BDC0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3A3BB8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B5CEC9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6EE88C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7801D4E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16</w:t>
            </w:r>
          </w:p>
        </w:tc>
        <w:tc>
          <w:tcPr>
            <w:tcW w:w="623" w:type="dxa"/>
            <w:shd w:val="clear" w:color="auto" w:fill="auto"/>
            <w:noWrap/>
            <w:vAlign w:val="bottom"/>
            <w:hideMark/>
          </w:tcPr>
          <w:p w14:paraId="79511B2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6.1%</w:t>
            </w:r>
          </w:p>
        </w:tc>
        <w:tc>
          <w:tcPr>
            <w:tcW w:w="314" w:type="dxa"/>
            <w:shd w:val="clear" w:color="auto" w:fill="auto"/>
            <w:noWrap/>
            <w:vAlign w:val="bottom"/>
            <w:hideMark/>
          </w:tcPr>
          <w:p w14:paraId="378C5A0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23" w:type="dxa"/>
            <w:shd w:val="clear" w:color="auto" w:fill="auto"/>
            <w:noWrap/>
            <w:vAlign w:val="bottom"/>
            <w:hideMark/>
          </w:tcPr>
          <w:p w14:paraId="1E6584F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14" w:type="dxa"/>
            <w:shd w:val="clear" w:color="auto" w:fill="auto"/>
            <w:noWrap/>
            <w:vAlign w:val="bottom"/>
            <w:hideMark/>
          </w:tcPr>
          <w:p w14:paraId="37AA14A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2E805B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A311C2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911944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029BBABC" w14:textId="77777777" w:rsidTr="00A43F44">
        <w:trPr>
          <w:trHeight w:val="272"/>
          <w:jc w:val="center"/>
        </w:trPr>
        <w:tc>
          <w:tcPr>
            <w:tcW w:w="2855" w:type="dxa"/>
            <w:shd w:val="clear" w:color="auto" w:fill="auto"/>
            <w:noWrap/>
            <w:vAlign w:val="center"/>
            <w:hideMark/>
          </w:tcPr>
          <w:p w14:paraId="649A522E"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Fatigue</w:t>
            </w:r>
          </w:p>
        </w:tc>
        <w:tc>
          <w:tcPr>
            <w:tcW w:w="394" w:type="dxa"/>
            <w:shd w:val="clear" w:color="auto" w:fill="auto"/>
            <w:noWrap/>
            <w:vAlign w:val="bottom"/>
            <w:hideMark/>
          </w:tcPr>
          <w:p w14:paraId="0F4F99D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49</w:t>
            </w:r>
          </w:p>
        </w:tc>
        <w:tc>
          <w:tcPr>
            <w:tcW w:w="741" w:type="dxa"/>
            <w:shd w:val="clear" w:color="auto" w:fill="auto"/>
            <w:noWrap/>
            <w:vAlign w:val="bottom"/>
            <w:hideMark/>
          </w:tcPr>
          <w:p w14:paraId="7BCE5D0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18.8%</w:t>
            </w:r>
          </w:p>
        </w:tc>
        <w:tc>
          <w:tcPr>
            <w:tcW w:w="394" w:type="dxa"/>
            <w:shd w:val="clear" w:color="auto" w:fill="auto"/>
            <w:noWrap/>
            <w:vAlign w:val="bottom"/>
            <w:hideMark/>
          </w:tcPr>
          <w:p w14:paraId="36D3695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10</w:t>
            </w:r>
          </w:p>
        </w:tc>
        <w:tc>
          <w:tcPr>
            <w:tcW w:w="617" w:type="dxa"/>
            <w:shd w:val="clear" w:color="auto" w:fill="auto"/>
            <w:noWrap/>
            <w:vAlign w:val="bottom"/>
            <w:hideMark/>
          </w:tcPr>
          <w:p w14:paraId="677C6D3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3.8%</w:t>
            </w:r>
          </w:p>
        </w:tc>
        <w:tc>
          <w:tcPr>
            <w:tcW w:w="314" w:type="dxa"/>
            <w:shd w:val="clear" w:color="auto" w:fill="auto"/>
            <w:noWrap/>
            <w:vAlign w:val="bottom"/>
            <w:hideMark/>
          </w:tcPr>
          <w:p w14:paraId="2B75DB0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17" w:type="dxa"/>
            <w:shd w:val="clear" w:color="auto" w:fill="auto"/>
            <w:noWrap/>
            <w:vAlign w:val="bottom"/>
            <w:hideMark/>
          </w:tcPr>
          <w:p w14:paraId="63614AE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268451B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D3EED3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321EF86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16</w:t>
            </w:r>
          </w:p>
        </w:tc>
        <w:tc>
          <w:tcPr>
            <w:tcW w:w="623" w:type="dxa"/>
            <w:shd w:val="clear" w:color="auto" w:fill="auto"/>
            <w:noWrap/>
            <w:vAlign w:val="bottom"/>
            <w:hideMark/>
          </w:tcPr>
          <w:p w14:paraId="692C3B5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6.1%</w:t>
            </w:r>
          </w:p>
        </w:tc>
        <w:tc>
          <w:tcPr>
            <w:tcW w:w="314" w:type="dxa"/>
            <w:shd w:val="clear" w:color="auto" w:fill="auto"/>
            <w:noWrap/>
            <w:vAlign w:val="bottom"/>
            <w:hideMark/>
          </w:tcPr>
          <w:p w14:paraId="60ED741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2</w:t>
            </w:r>
          </w:p>
        </w:tc>
        <w:tc>
          <w:tcPr>
            <w:tcW w:w="623" w:type="dxa"/>
            <w:shd w:val="clear" w:color="auto" w:fill="auto"/>
            <w:noWrap/>
            <w:vAlign w:val="bottom"/>
            <w:hideMark/>
          </w:tcPr>
          <w:p w14:paraId="108B570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0.8%</w:t>
            </w:r>
          </w:p>
        </w:tc>
        <w:tc>
          <w:tcPr>
            <w:tcW w:w="314" w:type="dxa"/>
            <w:shd w:val="clear" w:color="auto" w:fill="auto"/>
            <w:noWrap/>
            <w:vAlign w:val="bottom"/>
            <w:hideMark/>
          </w:tcPr>
          <w:p w14:paraId="4C962B4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23" w:type="dxa"/>
            <w:shd w:val="clear" w:color="auto" w:fill="auto"/>
            <w:noWrap/>
            <w:vAlign w:val="bottom"/>
            <w:hideMark/>
          </w:tcPr>
          <w:p w14:paraId="380792D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159A387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5874598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5DBF92FE" w14:textId="77777777" w:rsidTr="00A43F44">
        <w:trPr>
          <w:trHeight w:val="272"/>
          <w:jc w:val="center"/>
        </w:trPr>
        <w:tc>
          <w:tcPr>
            <w:tcW w:w="2855" w:type="dxa"/>
            <w:shd w:val="clear" w:color="auto" w:fill="auto"/>
            <w:noWrap/>
            <w:vAlign w:val="center"/>
            <w:hideMark/>
          </w:tcPr>
          <w:p w14:paraId="2B57693B"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Myalgia</w:t>
            </w:r>
          </w:p>
        </w:tc>
        <w:tc>
          <w:tcPr>
            <w:tcW w:w="394" w:type="dxa"/>
            <w:shd w:val="clear" w:color="auto" w:fill="auto"/>
            <w:noWrap/>
            <w:vAlign w:val="bottom"/>
            <w:hideMark/>
          </w:tcPr>
          <w:p w14:paraId="536CD95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36</w:t>
            </w:r>
          </w:p>
        </w:tc>
        <w:tc>
          <w:tcPr>
            <w:tcW w:w="741" w:type="dxa"/>
            <w:shd w:val="clear" w:color="auto" w:fill="auto"/>
            <w:noWrap/>
            <w:vAlign w:val="bottom"/>
            <w:hideMark/>
          </w:tcPr>
          <w:p w14:paraId="11DAFEC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13.8%</w:t>
            </w:r>
          </w:p>
        </w:tc>
        <w:tc>
          <w:tcPr>
            <w:tcW w:w="394" w:type="dxa"/>
            <w:shd w:val="clear" w:color="auto" w:fill="auto"/>
            <w:noWrap/>
            <w:vAlign w:val="bottom"/>
            <w:hideMark/>
          </w:tcPr>
          <w:p w14:paraId="196DE5A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w:t>
            </w:r>
          </w:p>
        </w:tc>
        <w:tc>
          <w:tcPr>
            <w:tcW w:w="617" w:type="dxa"/>
            <w:shd w:val="clear" w:color="auto" w:fill="auto"/>
            <w:noWrap/>
            <w:vAlign w:val="bottom"/>
            <w:hideMark/>
          </w:tcPr>
          <w:p w14:paraId="280FEFB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1.1%</w:t>
            </w:r>
          </w:p>
        </w:tc>
        <w:tc>
          <w:tcPr>
            <w:tcW w:w="314" w:type="dxa"/>
            <w:shd w:val="clear" w:color="auto" w:fill="auto"/>
            <w:noWrap/>
            <w:vAlign w:val="bottom"/>
            <w:hideMark/>
          </w:tcPr>
          <w:p w14:paraId="066C143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7B50B94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2DFD7B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0627C7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1D4EA36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623" w:type="dxa"/>
            <w:shd w:val="clear" w:color="auto" w:fill="auto"/>
            <w:noWrap/>
            <w:vAlign w:val="bottom"/>
            <w:hideMark/>
          </w:tcPr>
          <w:p w14:paraId="6CE0422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5.7%</w:t>
            </w:r>
          </w:p>
        </w:tc>
        <w:tc>
          <w:tcPr>
            <w:tcW w:w="314" w:type="dxa"/>
            <w:shd w:val="clear" w:color="auto" w:fill="auto"/>
            <w:noWrap/>
            <w:vAlign w:val="bottom"/>
            <w:hideMark/>
          </w:tcPr>
          <w:p w14:paraId="725766F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E1577E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8A4D97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737853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7FD964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67ABD5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11F246B9" w14:textId="77777777" w:rsidTr="00A43F44">
        <w:trPr>
          <w:trHeight w:val="272"/>
          <w:jc w:val="center"/>
        </w:trPr>
        <w:tc>
          <w:tcPr>
            <w:tcW w:w="2855" w:type="dxa"/>
            <w:shd w:val="clear" w:color="auto" w:fill="auto"/>
            <w:noWrap/>
            <w:vAlign w:val="center"/>
            <w:hideMark/>
          </w:tcPr>
          <w:p w14:paraId="1976FE01"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Acute Allergic Reaction</w:t>
            </w:r>
          </w:p>
        </w:tc>
        <w:tc>
          <w:tcPr>
            <w:tcW w:w="394" w:type="dxa"/>
            <w:shd w:val="clear" w:color="auto" w:fill="auto"/>
            <w:noWrap/>
            <w:vAlign w:val="bottom"/>
            <w:hideMark/>
          </w:tcPr>
          <w:p w14:paraId="04FB3D2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741" w:type="dxa"/>
            <w:shd w:val="clear" w:color="auto" w:fill="auto"/>
            <w:noWrap/>
            <w:vAlign w:val="bottom"/>
            <w:hideMark/>
          </w:tcPr>
          <w:p w14:paraId="35653A3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077702E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7BB8521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931BF8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48C839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0DA2106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1D5B13C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4A11CDF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818854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FBDE63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33665C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8EBAFA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24BD84A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596303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3DC38C8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54377AAD" w14:textId="77777777" w:rsidTr="00A43F44">
        <w:trPr>
          <w:trHeight w:val="272"/>
          <w:jc w:val="center"/>
        </w:trPr>
        <w:tc>
          <w:tcPr>
            <w:tcW w:w="2855" w:type="dxa"/>
            <w:shd w:val="clear" w:color="auto" w:fill="auto"/>
            <w:noWrap/>
            <w:vAlign w:val="center"/>
            <w:hideMark/>
          </w:tcPr>
          <w:p w14:paraId="168FE57A"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 xml:space="preserve">Rash </w:t>
            </w:r>
          </w:p>
        </w:tc>
        <w:tc>
          <w:tcPr>
            <w:tcW w:w="394" w:type="dxa"/>
            <w:shd w:val="clear" w:color="auto" w:fill="auto"/>
            <w:noWrap/>
            <w:vAlign w:val="bottom"/>
            <w:hideMark/>
          </w:tcPr>
          <w:p w14:paraId="29632AA0"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741" w:type="dxa"/>
            <w:shd w:val="clear" w:color="auto" w:fill="auto"/>
            <w:noWrap/>
            <w:vAlign w:val="bottom"/>
            <w:hideMark/>
          </w:tcPr>
          <w:p w14:paraId="5C67038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76FF5637"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3C9B65B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0998F9F"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E27897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DD0CD9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6E6B879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2E3CDFF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0686D7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713CD95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66B519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1E2636D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3B11E0C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7E8AE2C"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46EA83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09F36EA2" w14:textId="77777777" w:rsidTr="00A43F44">
        <w:trPr>
          <w:trHeight w:val="272"/>
          <w:jc w:val="center"/>
        </w:trPr>
        <w:tc>
          <w:tcPr>
            <w:tcW w:w="2855" w:type="dxa"/>
            <w:shd w:val="clear" w:color="auto" w:fill="auto"/>
            <w:noWrap/>
            <w:vAlign w:val="center"/>
            <w:hideMark/>
          </w:tcPr>
          <w:p w14:paraId="6F6A2A11"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Joint pain</w:t>
            </w:r>
          </w:p>
        </w:tc>
        <w:tc>
          <w:tcPr>
            <w:tcW w:w="394" w:type="dxa"/>
            <w:shd w:val="clear" w:color="auto" w:fill="auto"/>
            <w:noWrap/>
            <w:vAlign w:val="bottom"/>
            <w:hideMark/>
          </w:tcPr>
          <w:p w14:paraId="56DCCB9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31</w:t>
            </w:r>
          </w:p>
        </w:tc>
        <w:tc>
          <w:tcPr>
            <w:tcW w:w="741" w:type="dxa"/>
            <w:shd w:val="clear" w:color="auto" w:fill="auto"/>
            <w:noWrap/>
            <w:vAlign w:val="bottom"/>
            <w:hideMark/>
          </w:tcPr>
          <w:p w14:paraId="6F7BD5D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11.9%</w:t>
            </w:r>
          </w:p>
        </w:tc>
        <w:tc>
          <w:tcPr>
            <w:tcW w:w="394" w:type="dxa"/>
            <w:shd w:val="clear" w:color="auto" w:fill="auto"/>
            <w:noWrap/>
            <w:vAlign w:val="bottom"/>
            <w:hideMark/>
          </w:tcPr>
          <w:p w14:paraId="7CC7A5D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4</w:t>
            </w:r>
          </w:p>
        </w:tc>
        <w:tc>
          <w:tcPr>
            <w:tcW w:w="617" w:type="dxa"/>
            <w:shd w:val="clear" w:color="auto" w:fill="auto"/>
            <w:noWrap/>
            <w:vAlign w:val="bottom"/>
            <w:hideMark/>
          </w:tcPr>
          <w:p w14:paraId="123147E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1.5%</w:t>
            </w:r>
          </w:p>
        </w:tc>
        <w:tc>
          <w:tcPr>
            <w:tcW w:w="314" w:type="dxa"/>
            <w:shd w:val="clear" w:color="auto" w:fill="auto"/>
            <w:noWrap/>
            <w:vAlign w:val="bottom"/>
            <w:hideMark/>
          </w:tcPr>
          <w:p w14:paraId="07A1127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494DF7A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F22CA1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4B08B76"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03E2E7F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16</w:t>
            </w:r>
          </w:p>
        </w:tc>
        <w:tc>
          <w:tcPr>
            <w:tcW w:w="623" w:type="dxa"/>
            <w:shd w:val="clear" w:color="auto" w:fill="auto"/>
            <w:noWrap/>
            <w:vAlign w:val="bottom"/>
            <w:hideMark/>
          </w:tcPr>
          <w:p w14:paraId="32E8B34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6.1%</w:t>
            </w:r>
          </w:p>
        </w:tc>
        <w:tc>
          <w:tcPr>
            <w:tcW w:w="314" w:type="dxa"/>
            <w:shd w:val="clear" w:color="auto" w:fill="auto"/>
            <w:noWrap/>
            <w:vAlign w:val="bottom"/>
            <w:hideMark/>
          </w:tcPr>
          <w:p w14:paraId="2431D95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23" w:type="dxa"/>
            <w:shd w:val="clear" w:color="auto" w:fill="auto"/>
            <w:noWrap/>
            <w:vAlign w:val="bottom"/>
            <w:hideMark/>
          </w:tcPr>
          <w:p w14:paraId="276BF42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7382B80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8DA333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65EC979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08002AD"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r w:rsidR="007E17ED" w:rsidRPr="006C2554" w14:paraId="506B9C01" w14:textId="77777777" w:rsidTr="00A43F44">
        <w:trPr>
          <w:trHeight w:val="272"/>
          <w:jc w:val="center"/>
        </w:trPr>
        <w:tc>
          <w:tcPr>
            <w:tcW w:w="2855" w:type="dxa"/>
            <w:shd w:val="clear" w:color="auto" w:fill="auto"/>
            <w:noWrap/>
            <w:vAlign w:val="center"/>
            <w:hideMark/>
          </w:tcPr>
          <w:p w14:paraId="5AE7F0C7" w14:textId="77777777" w:rsidR="007E17ED" w:rsidRPr="006C2554" w:rsidRDefault="007E17ED" w:rsidP="00A43F44">
            <w:pPr>
              <w:spacing w:line="334" w:lineRule="auto"/>
              <w:contextualSpacing/>
              <w:rPr>
                <w:rFonts w:ascii="Arial" w:hAnsi="Arial" w:cs="Arial"/>
                <w:sz w:val="16"/>
                <w:szCs w:val="16"/>
              </w:rPr>
            </w:pPr>
            <w:r w:rsidRPr="006C2554">
              <w:rPr>
                <w:rFonts w:ascii="Arial" w:hAnsi="Arial" w:cs="Arial"/>
                <w:sz w:val="16"/>
                <w:szCs w:val="16"/>
              </w:rPr>
              <w:t xml:space="preserve">Other Adverse Event </w:t>
            </w:r>
          </w:p>
        </w:tc>
        <w:tc>
          <w:tcPr>
            <w:tcW w:w="394" w:type="dxa"/>
            <w:shd w:val="clear" w:color="auto" w:fill="auto"/>
            <w:noWrap/>
            <w:vAlign w:val="bottom"/>
            <w:hideMark/>
          </w:tcPr>
          <w:p w14:paraId="0F0CD76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3</w:t>
            </w:r>
          </w:p>
        </w:tc>
        <w:tc>
          <w:tcPr>
            <w:tcW w:w="741" w:type="dxa"/>
            <w:shd w:val="clear" w:color="auto" w:fill="auto"/>
            <w:noWrap/>
            <w:vAlign w:val="bottom"/>
            <w:hideMark/>
          </w:tcPr>
          <w:p w14:paraId="7AB0BE2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1.1%</w:t>
            </w:r>
          </w:p>
        </w:tc>
        <w:tc>
          <w:tcPr>
            <w:tcW w:w="394" w:type="dxa"/>
            <w:shd w:val="clear" w:color="auto" w:fill="auto"/>
            <w:noWrap/>
            <w:vAlign w:val="bottom"/>
            <w:hideMark/>
          </w:tcPr>
          <w:p w14:paraId="697C6E75"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65A65BA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3A1673F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0A6B1529"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49177E3E"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17" w:type="dxa"/>
            <w:shd w:val="clear" w:color="auto" w:fill="auto"/>
            <w:noWrap/>
            <w:vAlign w:val="bottom"/>
            <w:hideMark/>
          </w:tcPr>
          <w:p w14:paraId="2552DAC8"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94" w:type="dxa"/>
            <w:shd w:val="clear" w:color="auto" w:fill="auto"/>
            <w:noWrap/>
            <w:vAlign w:val="bottom"/>
            <w:hideMark/>
          </w:tcPr>
          <w:p w14:paraId="769FDE5B"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1</w:t>
            </w:r>
          </w:p>
        </w:tc>
        <w:tc>
          <w:tcPr>
            <w:tcW w:w="623" w:type="dxa"/>
            <w:shd w:val="clear" w:color="auto" w:fill="auto"/>
            <w:noWrap/>
            <w:vAlign w:val="bottom"/>
            <w:hideMark/>
          </w:tcPr>
          <w:p w14:paraId="6E222FA2"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0.4%</w:t>
            </w:r>
          </w:p>
        </w:tc>
        <w:tc>
          <w:tcPr>
            <w:tcW w:w="314" w:type="dxa"/>
            <w:shd w:val="clear" w:color="auto" w:fill="auto"/>
            <w:noWrap/>
            <w:vAlign w:val="bottom"/>
            <w:hideMark/>
          </w:tcPr>
          <w:p w14:paraId="308A4D5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44C4F2D1"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52A42653"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7E5F154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c>
          <w:tcPr>
            <w:tcW w:w="314" w:type="dxa"/>
            <w:shd w:val="clear" w:color="auto" w:fill="auto"/>
            <w:noWrap/>
            <w:vAlign w:val="bottom"/>
            <w:hideMark/>
          </w:tcPr>
          <w:p w14:paraId="20C0C19A"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w:t>
            </w:r>
          </w:p>
        </w:tc>
        <w:tc>
          <w:tcPr>
            <w:tcW w:w="623" w:type="dxa"/>
            <w:shd w:val="clear" w:color="auto" w:fill="auto"/>
            <w:noWrap/>
            <w:vAlign w:val="bottom"/>
            <w:hideMark/>
          </w:tcPr>
          <w:p w14:paraId="1DD00564" w14:textId="77777777" w:rsidR="007E17ED" w:rsidRPr="006C2554" w:rsidRDefault="007E17ED" w:rsidP="00A43F44">
            <w:pPr>
              <w:spacing w:line="334" w:lineRule="auto"/>
              <w:contextualSpacing/>
              <w:jc w:val="center"/>
              <w:rPr>
                <w:rFonts w:ascii="Arial" w:hAnsi="Arial" w:cs="Arial"/>
                <w:sz w:val="16"/>
                <w:szCs w:val="16"/>
              </w:rPr>
            </w:pPr>
            <w:r w:rsidRPr="006C2554">
              <w:rPr>
                <w:rFonts w:ascii="Arial" w:hAnsi="Arial" w:cs="Arial"/>
                <w:sz w:val="16"/>
                <w:szCs w:val="16"/>
              </w:rPr>
              <w:t>0.0%</w:t>
            </w:r>
          </w:p>
        </w:tc>
      </w:tr>
    </w:tbl>
    <w:p w14:paraId="4B4CA190" w14:textId="77777777" w:rsidR="007E17ED" w:rsidRDefault="007E17ED" w:rsidP="007E17ED">
      <w:pPr>
        <w:tabs>
          <w:tab w:val="left" w:pos="3060"/>
        </w:tabs>
        <w:spacing w:after="0" w:line="334" w:lineRule="auto"/>
        <w:contextualSpacing/>
        <w:rPr>
          <w:rFonts w:ascii="Arial" w:hAnsi="Arial" w:cs="Arial"/>
          <w:b/>
          <w:bCs/>
          <w:i/>
          <w:iCs/>
          <w:color w:val="202124"/>
          <w:sz w:val="15"/>
          <w:szCs w:val="15"/>
          <w:shd w:val="clear" w:color="auto" w:fill="FFFFFF"/>
        </w:rPr>
      </w:pPr>
      <w:r w:rsidRPr="006C2554">
        <w:rPr>
          <w:rFonts w:ascii="Arial" w:hAnsi="Arial" w:cs="Arial"/>
          <w:b/>
          <w:bCs/>
          <w:sz w:val="15"/>
          <w:szCs w:val="15"/>
        </w:rPr>
        <w:t xml:space="preserve">*PLT: </w:t>
      </w:r>
      <w:r w:rsidRPr="006C2554">
        <w:rPr>
          <w:rFonts w:ascii="Arial" w:hAnsi="Arial" w:cs="Arial"/>
          <w:b/>
          <w:bCs/>
          <w:i/>
          <w:iCs/>
          <w:color w:val="202124"/>
          <w:sz w:val="15"/>
          <w:szCs w:val="15"/>
          <w:shd w:val="clear" w:color="auto" w:fill="FFFFFF"/>
        </w:rPr>
        <w:t>Potentially Life-Threatening</w:t>
      </w:r>
    </w:p>
    <w:p w14:paraId="51FC10E0" w14:textId="4E2033F2" w:rsidR="007E17ED" w:rsidRDefault="007E17ED" w:rsidP="00F12F46">
      <w:pPr>
        <w:pStyle w:val="NormalWeb"/>
        <w:snapToGrid w:val="0"/>
        <w:spacing w:before="0" w:beforeAutospacing="0" w:after="0" w:afterAutospacing="0" w:line="334" w:lineRule="auto"/>
        <w:ind w:left="142" w:firstLine="425"/>
        <w:jc w:val="both"/>
        <w:rPr>
          <w:rFonts w:ascii="Arial" w:hAnsi="Arial" w:cs="Arial"/>
          <w:color w:val="0E101A"/>
          <w:sz w:val="20"/>
          <w:szCs w:val="20"/>
          <w:lang w:val="en-US"/>
        </w:rPr>
      </w:pPr>
    </w:p>
    <w:p w14:paraId="4475AB32" w14:textId="77777777" w:rsidR="007E17ED" w:rsidRDefault="007E17ED" w:rsidP="00F12F46">
      <w:pPr>
        <w:pStyle w:val="NormalWeb"/>
        <w:snapToGrid w:val="0"/>
        <w:spacing w:before="0" w:beforeAutospacing="0" w:after="0" w:afterAutospacing="0" w:line="334" w:lineRule="auto"/>
        <w:ind w:left="142" w:firstLine="425"/>
        <w:jc w:val="both"/>
        <w:rPr>
          <w:rFonts w:ascii="Arial" w:hAnsi="Arial" w:cs="Arial"/>
          <w:color w:val="0E101A"/>
          <w:sz w:val="20"/>
          <w:szCs w:val="20"/>
          <w:lang w:val="en-US"/>
        </w:rPr>
      </w:pPr>
    </w:p>
    <w:p w14:paraId="7F46216D" w14:textId="0552BBD2" w:rsidR="007E17ED" w:rsidRDefault="007E17ED" w:rsidP="00F12F46">
      <w:pPr>
        <w:pStyle w:val="NormalWeb"/>
        <w:snapToGrid w:val="0"/>
        <w:spacing w:before="0" w:beforeAutospacing="0" w:after="0" w:afterAutospacing="0" w:line="334" w:lineRule="auto"/>
        <w:ind w:left="142" w:firstLine="425"/>
        <w:jc w:val="both"/>
        <w:rPr>
          <w:rFonts w:ascii="Arial" w:hAnsi="Arial" w:cs="Arial"/>
          <w:sz w:val="20"/>
          <w:szCs w:val="20"/>
        </w:rPr>
        <w:sectPr w:rsidR="007E17ED" w:rsidSect="007E17ED">
          <w:type w:val="continuous"/>
          <w:pgSz w:w="11906" w:h="16838" w:code="9"/>
          <w:pgMar w:top="1418" w:right="907" w:bottom="868" w:left="964" w:header="709" w:footer="709" w:gutter="0"/>
          <w:cols w:space="708"/>
          <w:titlePg/>
          <w:docGrid w:linePitch="360"/>
        </w:sectPr>
      </w:pPr>
    </w:p>
    <w:p w14:paraId="657F6D68" w14:textId="4E68B6C4" w:rsidR="007E17ED" w:rsidRPr="007E17ED" w:rsidRDefault="007E17ED" w:rsidP="007E17ED">
      <w:pPr>
        <w:rPr>
          <w:rFonts w:ascii="Arial" w:hAnsi="Arial" w:cs="Arial"/>
          <w:sz w:val="20"/>
          <w:szCs w:val="20"/>
          <w:lang w:val="en-US"/>
        </w:rPr>
        <w:sectPr w:rsidR="007E17ED" w:rsidRPr="007E17ED" w:rsidSect="007E17ED">
          <w:type w:val="continuous"/>
          <w:pgSz w:w="11906" w:h="16838" w:code="9"/>
          <w:pgMar w:top="1418" w:right="907" w:bottom="868" w:left="964" w:header="709" w:footer="709" w:gutter="0"/>
          <w:cols w:space="708"/>
          <w:titlePg/>
          <w:docGrid w:linePitch="360"/>
        </w:sectPr>
      </w:pPr>
    </w:p>
    <w:p w14:paraId="12A6AE06" w14:textId="38921FAF" w:rsidR="007E17ED" w:rsidRPr="007E17ED" w:rsidRDefault="007E17ED" w:rsidP="007E17ED">
      <w:pPr>
        <w:rPr>
          <w:rFonts w:ascii="Arial" w:hAnsi="Arial" w:cs="Arial"/>
          <w:sz w:val="16"/>
          <w:szCs w:val="16"/>
        </w:rPr>
        <w:sectPr w:rsidR="007E17ED" w:rsidRPr="007E17ED" w:rsidSect="007E17ED">
          <w:type w:val="continuous"/>
          <w:pgSz w:w="11906" w:h="16838" w:code="9"/>
          <w:pgMar w:top="1418" w:right="907" w:bottom="868" w:left="964" w:header="709" w:footer="709" w:gutter="0"/>
          <w:cols w:space="708"/>
          <w:titlePg/>
          <w:docGrid w:linePitch="360"/>
        </w:sectPr>
      </w:pPr>
    </w:p>
    <w:p w14:paraId="1400B878" w14:textId="77777777" w:rsidR="006C2554" w:rsidRDefault="006C2554" w:rsidP="00904932">
      <w:pPr>
        <w:snapToGrid w:val="0"/>
        <w:spacing w:after="240"/>
        <w:jc w:val="both"/>
        <w:rPr>
          <w:rFonts w:ascii="Arial" w:hAnsi="Arial" w:cs="Arial"/>
          <w:sz w:val="20"/>
          <w:szCs w:val="20"/>
        </w:rPr>
        <w:sectPr w:rsidR="006C2554" w:rsidSect="007E17ED">
          <w:type w:val="continuous"/>
          <w:pgSz w:w="11906" w:h="16838" w:code="9"/>
          <w:pgMar w:top="1418" w:right="907" w:bottom="868" w:left="964" w:header="709" w:footer="709" w:gutter="0"/>
          <w:cols w:space="708"/>
          <w:titlePg/>
          <w:docGrid w:linePitch="360"/>
        </w:sectPr>
      </w:pPr>
    </w:p>
    <w:p w14:paraId="2D7BF802" w14:textId="77777777" w:rsidR="007E17ED" w:rsidRDefault="007E17ED" w:rsidP="006C2554">
      <w:pPr>
        <w:spacing w:after="0" w:line="334" w:lineRule="auto"/>
        <w:contextualSpacing/>
        <w:jc w:val="center"/>
        <w:rPr>
          <w:rFonts w:ascii="Arial" w:hAnsi="Arial" w:cs="Arial"/>
          <w:b/>
          <w:bCs/>
          <w:color w:val="000000"/>
          <w:sz w:val="16"/>
          <w:szCs w:val="16"/>
        </w:rPr>
        <w:sectPr w:rsidR="007E17ED" w:rsidSect="006C2554">
          <w:pgSz w:w="16838" w:h="11906" w:orient="landscape" w:code="9"/>
          <w:pgMar w:top="907" w:right="868" w:bottom="964" w:left="1418" w:header="709" w:footer="709" w:gutter="0"/>
          <w:cols w:space="708"/>
          <w:titlePg/>
          <w:docGrid w:linePitch="360"/>
        </w:sectPr>
      </w:pPr>
    </w:p>
    <w:tbl>
      <w:tblPr>
        <w:tblpPr w:leftFromText="180" w:rightFromText="180" w:vertAnchor="page" w:horzAnchor="margin" w:tblpY="1732"/>
        <w:tblW w:w="13924" w:type="dxa"/>
        <w:tblBorders>
          <w:top w:val="single" w:sz="4" w:space="0" w:color="auto"/>
          <w:bottom w:val="single" w:sz="4" w:space="0" w:color="auto"/>
        </w:tblBorders>
        <w:tblLook w:val="04A0" w:firstRow="1" w:lastRow="0" w:firstColumn="1" w:lastColumn="0" w:noHBand="0" w:noVBand="1"/>
      </w:tblPr>
      <w:tblGrid>
        <w:gridCol w:w="3266"/>
        <w:gridCol w:w="996"/>
        <w:gridCol w:w="1039"/>
        <w:gridCol w:w="731"/>
        <w:gridCol w:w="643"/>
        <w:gridCol w:w="737"/>
        <w:gridCol w:w="741"/>
        <w:gridCol w:w="1137"/>
        <w:gridCol w:w="992"/>
        <w:gridCol w:w="731"/>
        <w:gridCol w:w="925"/>
        <w:gridCol w:w="988"/>
        <w:gridCol w:w="950"/>
        <w:gridCol w:w="48"/>
      </w:tblGrid>
      <w:tr w:rsidR="006C2554" w:rsidRPr="006C2554" w14:paraId="2A9696FE" w14:textId="77777777" w:rsidTr="007E17ED">
        <w:trPr>
          <w:gridAfter w:val="1"/>
          <w:wAfter w:w="48" w:type="dxa"/>
          <w:trHeight w:val="187"/>
        </w:trPr>
        <w:tc>
          <w:tcPr>
            <w:tcW w:w="3266" w:type="dxa"/>
            <w:vMerge w:val="restart"/>
            <w:tcBorders>
              <w:top w:val="single" w:sz="4" w:space="0" w:color="auto"/>
              <w:bottom w:val="single" w:sz="4" w:space="0" w:color="auto"/>
            </w:tcBorders>
            <w:shd w:val="clear" w:color="auto" w:fill="auto"/>
            <w:vAlign w:val="center"/>
            <w:hideMark/>
          </w:tcPr>
          <w:p w14:paraId="7AB19BD2"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Risk factor</w:t>
            </w:r>
          </w:p>
        </w:tc>
        <w:tc>
          <w:tcPr>
            <w:tcW w:w="4887" w:type="dxa"/>
            <w:gridSpan w:val="6"/>
            <w:tcBorders>
              <w:top w:val="single" w:sz="4" w:space="0" w:color="auto"/>
              <w:bottom w:val="single" w:sz="4" w:space="0" w:color="auto"/>
            </w:tcBorders>
            <w:shd w:val="clear" w:color="auto" w:fill="auto"/>
            <w:noWrap/>
            <w:vAlign w:val="bottom"/>
            <w:hideMark/>
          </w:tcPr>
          <w:p w14:paraId="0AB3CB64"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 15 minutes</w:t>
            </w:r>
          </w:p>
        </w:tc>
        <w:tc>
          <w:tcPr>
            <w:tcW w:w="5723" w:type="dxa"/>
            <w:gridSpan w:val="6"/>
            <w:tcBorders>
              <w:top w:val="single" w:sz="4" w:space="0" w:color="auto"/>
              <w:bottom w:val="single" w:sz="4" w:space="0" w:color="auto"/>
            </w:tcBorders>
            <w:shd w:val="clear" w:color="auto" w:fill="auto"/>
            <w:noWrap/>
            <w:vAlign w:val="bottom"/>
            <w:hideMark/>
          </w:tcPr>
          <w:p w14:paraId="2E8E77CC"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 15 minutes - 24 hours</w:t>
            </w:r>
          </w:p>
        </w:tc>
      </w:tr>
      <w:tr w:rsidR="006C2554" w:rsidRPr="006C2554" w14:paraId="4846F5F7" w14:textId="77777777" w:rsidTr="007E17ED">
        <w:trPr>
          <w:trHeight w:val="187"/>
        </w:trPr>
        <w:tc>
          <w:tcPr>
            <w:tcW w:w="3266" w:type="dxa"/>
            <w:vMerge/>
            <w:tcBorders>
              <w:top w:val="single" w:sz="4" w:space="0" w:color="auto"/>
              <w:bottom w:val="single" w:sz="4" w:space="0" w:color="auto"/>
            </w:tcBorders>
            <w:vAlign w:val="center"/>
            <w:hideMark/>
          </w:tcPr>
          <w:p w14:paraId="6E2B457E" w14:textId="77777777" w:rsidR="006C2554" w:rsidRPr="006C2554" w:rsidRDefault="006C2554" w:rsidP="007E17ED">
            <w:pPr>
              <w:spacing w:after="0" w:line="334" w:lineRule="auto"/>
              <w:contextualSpacing/>
              <w:rPr>
                <w:rFonts w:ascii="Arial" w:hAnsi="Arial" w:cs="Arial"/>
                <w:b/>
                <w:bCs/>
                <w:color w:val="000000"/>
                <w:sz w:val="16"/>
                <w:szCs w:val="16"/>
              </w:rPr>
            </w:pPr>
          </w:p>
        </w:tc>
        <w:tc>
          <w:tcPr>
            <w:tcW w:w="996" w:type="dxa"/>
            <w:tcBorders>
              <w:top w:val="single" w:sz="4" w:space="0" w:color="auto"/>
              <w:bottom w:val="single" w:sz="4" w:space="0" w:color="auto"/>
            </w:tcBorders>
            <w:shd w:val="clear" w:color="auto" w:fill="auto"/>
            <w:vAlign w:val="center"/>
            <w:hideMark/>
          </w:tcPr>
          <w:p w14:paraId="0D15EDF5"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NO AEFI</w:t>
            </w:r>
          </w:p>
        </w:tc>
        <w:tc>
          <w:tcPr>
            <w:tcW w:w="1039" w:type="dxa"/>
            <w:tcBorders>
              <w:top w:val="single" w:sz="4" w:space="0" w:color="auto"/>
              <w:bottom w:val="single" w:sz="4" w:space="0" w:color="auto"/>
            </w:tcBorders>
            <w:shd w:val="clear" w:color="auto" w:fill="auto"/>
            <w:vAlign w:val="center"/>
            <w:hideMark/>
          </w:tcPr>
          <w:p w14:paraId="1D569B29"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w:t>
            </w:r>
          </w:p>
        </w:tc>
        <w:tc>
          <w:tcPr>
            <w:tcW w:w="731" w:type="dxa"/>
            <w:vMerge w:val="restart"/>
            <w:tcBorders>
              <w:top w:val="single" w:sz="4" w:space="0" w:color="auto"/>
              <w:bottom w:val="single" w:sz="4" w:space="0" w:color="auto"/>
            </w:tcBorders>
            <w:shd w:val="clear" w:color="auto" w:fill="auto"/>
            <w:noWrap/>
            <w:vAlign w:val="center"/>
            <w:hideMark/>
          </w:tcPr>
          <w:p w14:paraId="1E8B2E7E"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p-value</w:t>
            </w:r>
          </w:p>
        </w:tc>
        <w:tc>
          <w:tcPr>
            <w:tcW w:w="643" w:type="dxa"/>
            <w:vMerge w:val="restart"/>
            <w:tcBorders>
              <w:top w:val="single" w:sz="4" w:space="0" w:color="auto"/>
              <w:bottom w:val="single" w:sz="4" w:space="0" w:color="auto"/>
            </w:tcBorders>
            <w:shd w:val="clear" w:color="auto" w:fill="auto"/>
            <w:noWrap/>
            <w:vAlign w:val="center"/>
            <w:hideMark/>
          </w:tcPr>
          <w:p w14:paraId="5C834CE5"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OR</w:t>
            </w:r>
          </w:p>
        </w:tc>
        <w:tc>
          <w:tcPr>
            <w:tcW w:w="1478" w:type="dxa"/>
            <w:gridSpan w:val="2"/>
            <w:tcBorders>
              <w:top w:val="single" w:sz="4" w:space="0" w:color="auto"/>
              <w:bottom w:val="single" w:sz="4" w:space="0" w:color="auto"/>
            </w:tcBorders>
            <w:shd w:val="clear" w:color="auto" w:fill="auto"/>
            <w:noWrap/>
            <w:vAlign w:val="center"/>
            <w:hideMark/>
          </w:tcPr>
          <w:p w14:paraId="3429E514"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95 % CI</w:t>
            </w:r>
          </w:p>
        </w:tc>
        <w:tc>
          <w:tcPr>
            <w:tcW w:w="1137" w:type="dxa"/>
            <w:tcBorders>
              <w:top w:val="single" w:sz="4" w:space="0" w:color="auto"/>
              <w:bottom w:val="single" w:sz="4" w:space="0" w:color="auto"/>
            </w:tcBorders>
            <w:shd w:val="clear" w:color="auto" w:fill="auto"/>
            <w:vAlign w:val="center"/>
            <w:hideMark/>
          </w:tcPr>
          <w:p w14:paraId="4645FBB8"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NO AEFI</w:t>
            </w:r>
          </w:p>
        </w:tc>
        <w:tc>
          <w:tcPr>
            <w:tcW w:w="992" w:type="dxa"/>
            <w:tcBorders>
              <w:top w:val="single" w:sz="4" w:space="0" w:color="auto"/>
              <w:bottom w:val="single" w:sz="4" w:space="0" w:color="auto"/>
            </w:tcBorders>
            <w:shd w:val="clear" w:color="auto" w:fill="auto"/>
            <w:vAlign w:val="center"/>
            <w:hideMark/>
          </w:tcPr>
          <w:p w14:paraId="05D69851"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w:t>
            </w:r>
          </w:p>
        </w:tc>
        <w:tc>
          <w:tcPr>
            <w:tcW w:w="731" w:type="dxa"/>
            <w:vMerge w:val="restart"/>
            <w:tcBorders>
              <w:top w:val="single" w:sz="4" w:space="0" w:color="auto"/>
              <w:bottom w:val="single" w:sz="4" w:space="0" w:color="auto"/>
            </w:tcBorders>
            <w:shd w:val="clear" w:color="auto" w:fill="auto"/>
            <w:noWrap/>
            <w:vAlign w:val="center"/>
            <w:hideMark/>
          </w:tcPr>
          <w:p w14:paraId="149E0012"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p-value</w:t>
            </w:r>
          </w:p>
        </w:tc>
        <w:tc>
          <w:tcPr>
            <w:tcW w:w="925" w:type="dxa"/>
            <w:vMerge w:val="restart"/>
            <w:tcBorders>
              <w:top w:val="single" w:sz="4" w:space="0" w:color="auto"/>
              <w:bottom w:val="single" w:sz="4" w:space="0" w:color="auto"/>
            </w:tcBorders>
            <w:shd w:val="clear" w:color="auto" w:fill="auto"/>
            <w:noWrap/>
            <w:vAlign w:val="center"/>
            <w:hideMark/>
          </w:tcPr>
          <w:p w14:paraId="0C755F33"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OR</w:t>
            </w:r>
          </w:p>
        </w:tc>
        <w:tc>
          <w:tcPr>
            <w:tcW w:w="1986" w:type="dxa"/>
            <w:gridSpan w:val="3"/>
            <w:tcBorders>
              <w:top w:val="single" w:sz="4" w:space="0" w:color="auto"/>
              <w:bottom w:val="single" w:sz="4" w:space="0" w:color="auto"/>
            </w:tcBorders>
            <w:shd w:val="clear" w:color="auto" w:fill="auto"/>
            <w:noWrap/>
            <w:vAlign w:val="center"/>
            <w:hideMark/>
          </w:tcPr>
          <w:p w14:paraId="0DD1E4E6"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95 % CI</w:t>
            </w:r>
          </w:p>
        </w:tc>
      </w:tr>
      <w:tr w:rsidR="006C2554" w:rsidRPr="006C2554" w14:paraId="73847304" w14:textId="77777777" w:rsidTr="007E17ED">
        <w:trPr>
          <w:trHeight w:val="187"/>
        </w:trPr>
        <w:tc>
          <w:tcPr>
            <w:tcW w:w="3266" w:type="dxa"/>
            <w:vMerge/>
            <w:tcBorders>
              <w:top w:val="single" w:sz="4" w:space="0" w:color="auto"/>
              <w:bottom w:val="single" w:sz="4" w:space="0" w:color="auto"/>
            </w:tcBorders>
            <w:vAlign w:val="center"/>
            <w:hideMark/>
          </w:tcPr>
          <w:p w14:paraId="6556D739" w14:textId="77777777" w:rsidR="006C2554" w:rsidRPr="006C2554" w:rsidRDefault="006C2554" w:rsidP="007E17ED">
            <w:pPr>
              <w:spacing w:after="0" w:line="334" w:lineRule="auto"/>
              <w:contextualSpacing/>
              <w:rPr>
                <w:rFonts w:ascii="Arial" w:hAnsi="Arial" w:cs="Arial"/>
                <w:b/>
                <w:bCs/>
                <w:color w:val="000000"/>
                <w:sz w:val="16"/>
                <w:szCs w:val="16"/>
              </w:rPr>
            </w:pPr>
          </w:p>
        </w:tc>
        <w:tc>
          <w:tcPr>
            <w:tcW w:w="996" w:type="dxa"/>
            <w:tcBorders>
              <w:top w:val="single" w:sz="4" w:space="0" w:color="auto"/>
              <w:bottom w:val="single" w:sz="4" w:space="0" w:color="auto"/>
            </w:tcBorders>
            <w:shd w:val="clear" w:color="auto" w:fill="auto"/>
            <w:vAlign w:val="center"/>
            <w:hideMark/>
          </w:tcPr>
          <w:p w14:paraId="4F8BA562"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1039" w:type="dxa"/>
            <w:tcBorders>
              <w:top w:val="single" w:sz="4" w:space="0" w:color="auto"/>
              <w:bottom w:val="single" w:sz="4" w:space="0" w:color="auto"/>
            </w:tcBorders>
            <w:shd w:val="clear" w:color="auto" w:fill="auto"/>
            <w:vAlign w:val="center"/>
            <w:hideMark/>
          </w:tcPr>
          <w:p w14:paraId="3B548E39"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731" w:type="dxa"/>
            <w:vMerge/>
            <w:tcBorders>
              <w:top w:val="single" w:sz="4" w:space="0" w:color="auto"/>
              <w:bottom w:val="single" w:sz="4" w:space="0" w:color="auto"/>
            </w:tcBorders>
            <w:vAlign w:val="center"/>
            <w:hideMark/>
          </w:tcPr>
          <w:p w14:paraId="35E0F095" w14:textId="77777777" w:rsidR="006C2554" w:rsidRPr="006C2554" w:rsidRDefault="006C2554" w:rsidP="007E17ED">
            <w:pPr>
              <w:spacing w:after="0" w:line="334" w:lineRule="auto"/>
              <w:contextualSpacing/>
              <w:rPr>
                <w:rFonts w:ascii="Arial" w:hAnsi="Arial" w:cs="Arial"/>
                <w:b/>
                <w:bCs/>
                <w:color w:val="000000"/>
                <w:sz w:val="16"/>
                <w:szCs w:val="16"/>
              </w:rPr>
            </w:pPr>
          </w:p>
        </w:tc>
        <w:tc>
          <w:tcPr>
            <w:tcW w:w="643" w:type="dxa"/>
            <w:vMerge/>
            <w:tcBorders>
              <w:top w:val="single" w:sz="4" w:space="0" w:color="auto"/>
              <w:bottom w:val="single" w:sz="4" w:space="0" w:color="auto"/>
            </w:tcBorders>
            <w:vAlign w:val="center"/>
            <w:hideMark/>
          </w:tcPr>
          <w:p w14:paraId="117A4FBC" w14:textId="77777777" w:rsidR="006C2554" w:rsidRPr="006C2554" w:rsidRDefault="006C2554" w:rsidP="007E17ED">
            <w:pPr>
              <w:spacing w:after="0" w:line="334" w:lineRule="auto"/>
              <w:contextualSpacing/>
              <w:rPr>
                <w:rFonts w:ascii="Arial" w:hAnsi="Arial" w:cs="Arial"/>
                <w:b/>
                <w:bCs/>
                <w:color w:val="000000"/>
                <w:sz w:val="16"/>
                <w:szCs w:val="16"/>
              </w:rPr>
            </w:pPr>
          </w:p>
        </w:tc>
        <w:tc>
          <w:tcPr>
            <w:tcW w:w="737" w:type="dxa"/>
            <w:tcBorders>
              <w:top w:val="single" w:sz="4" w:space="0" w:color="auto"/>
              <w:bottom w:val="single" w:sz="4" w:space="0" w:color="auto"/>
            </w:tcBorders>
            <w:shd w:val="clear" w:color="auto" w:fill="auto"/>
            <w:noWrap/>
            <w:vAlign w:val="center"/>
            <w:hideMark/>
          </w:tcPr>
          <w:p w14:paraId="1C519D57"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Lower</w:t>
            </w:r>
          </w:p>
        </w:tc>
        <w:tc>
          <w:tcPr>
            <w:tcW w:w="741" w:type="dxa"/>
            <w:tcBorders>
              <w:top w:val="single" w:sz="4" w:space="0" w:color="auto"/>
              <w:bottom w:val="single" w:sz="4" w:space="0" w:color="auto"/>
            </w:tcBorders>
            <w:shd w:val="clear" w:color="auto" w:fill="auto"/>
            <w:noWrap/>
            <w:vAlign w:val="center"/>
            <w:hideMark/>
          </w:tcPr>
          <w:p w14:paraId="020DD55F"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Upper</w:t>
            </w:r>
          </w:p>
        </w:tc>
        <w:tc>
          <w:tcPr>
            <w:tcW w:w="1137" w:type="dxa"/>
            <w:tcBorders>
              <w:top w:val="single" w:sz="4" w:space="0" w:color="auto"/>
              <w:bottom w:val="single" w:sz="4" w:space="0" w:color="auto"/>
            </w:tcBorders>
            <w:shd w:val="clear" w:color="auto" w:fill="auto"/>
            <w:vAlign w:val="center"/>
            <w:hideMark/>
          </w:tcPr>
          <w:p w14:paraId="67BF4AEB"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992" w:type="dxa"/>
            <w:tcBorders>
              <w:top w:val="single" w:sz="4" w:space="0" w:color="auto"/>
              <w:bottom w:val="single" w:sz="4" w:space="0" w:color="auto"/>
            </w:tcBorders>
            <w:shd w:val="clear" w:color="auto" w:fill="auto"/>
            <w:vAlign w:val="center"/>
            <w:hideMark/>
          </w:tcPr>
          <w:p w14:paraId="30A9F610"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731" w:type="dxa"/>
            <w:vMerge/>
            <w:tcBorders>
              <w:top w:val="single" w:sz="4" w:space="0" w:color="auto"/>
              <w:bottom w:val="single" w:sz="4" w:space="0" w:color="auto"/>
            </w:tcBorders>
            <w:vAlign w:val="center"/>
            <w:hideMark/>
          </w:tcPr>
          <w:p w14:paraId="03518262" w14:textId="77777777" w:rsidR="006C2554" w:rsidRPr="006C2554" w:rsidRDefault="006C2554" w:rsidP="007E17ED">
            <w:pPr>
              <w:spacing w:after="0" w:line="334" w:lineRule="auto"/>
              <w:contextualSpacing/>
              <w:rPr>
                <w:rFonts w:ascii="Arial" w:hAnsi="Arial" w:cs="Arial"/>
                <w:b/>
                <w:bCs/>
                <w:color w:val="000000"/>
                <w:sz w:val="16"/>
                <w:szCs w:val="16"/>
              </w:rPr>
            </w:pPr>
          </w:p>
        </w:tc>
        <w:tc>
          <w:tcPr>
            <w:tcW w:w="925" w:type="dxa"/>
            <w:vMerge/>
            <w:tcBorders>
              <w:top w:val="single" w:sz="4" w:space="0" w:color="auto"/>
              <w:bottom w:val="single" w:sz="4" w:space="0" w:color="auto"/>
            </w:tcBorders>
            <w:vAlign w:val="center"/>
            <w:hideMark/>
          </w:tcPr>
          <w:p w14:paraId="6903906A" w14:textId="77777777" w:rsidR="006C2554" w:rsidRPr="006C2554" w:rsidRDefault="006C2554" w:rsidP="007E17ED">
            <w:pPr>
              <w:spacing w:after="0" w:line="334" w:lineRule="auto"/>
              <w:contextualSpacing/>
              <w:rPr>
                <w:rFonts w:ascii="Arial" w:hAnsi="Arial" w:cs="Arial"/>
                <w:b/>
                <w:bCs/>
                <w:color w:val="000000"/>
                <w:sz w:val="16"/>
                <w:szCs w:val="16"/>
              </w:rPr>
            </w:pPr>
          </w:p>
        </w:tc>
        <w:tc>
          <w:tcPr>
            <w:tcW w:w="988" w:type="dxa"/>
            <w:tcBorders>
              <w:top w:val="single" w:sz="4" w:space="0" w:color="auto"/>
              <w:bottom w:val="single" w:sz="4" w:space="0" w:color="auto"/>
            </w:tcBorders>
            <w:shd w:val="clear" w:color="auto" w:fill="auto"/>
            <w:noWrap/>
            <w:vAlign w:val="center"/>
            <w:hideMark/>
          </w:tcPr>
          <w:p w14:paraId="48C80FCC"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Lower</w:t>
            </w:r>
          </w:p>
        </w:tc>
        <w:tc>
          <w:tcPr>
            <w:tcW w:w="998" w:type="dxa"/>
            <w:gridSpan w:val="2"/>
            <w:tcBorders>
              <w:top w:val="single" w:sz="4" w:space="0" w:color="auto"/>
              <w:bottom w:val="single" w:sz="4" w:space="0" w:color="auto"/>
            </w:tcBorders>
            <w:shd w:val="clear" w:color="auto" w:fill="auto"/>
            <w:noWrap/>
            <w:vAlign w:val="center"/>
            <w:hideMark/>
          </w:tcPr>
          <w:p w14:paraId="3E12D50F"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Upper</w:t>
            </w:r>
          </w:p>
        </w:tc>
      </w:tr>
      <w:tr w:rsidR="006C2554" w:rsidRPr="006C2554" w14:paraId="0878F37B" w14:textId="77777777" w:rsidTr="007E17ED">
        <w:trPr>
          <w:trHeight w:val="187"/>
        </w:trPr>
        <w:tc>
          <w:tcPr>
            <w:tcW w:w="3266" w:type="dxa"/>
            <w:tcBorders>
              <w:top w:val="single" w:sz="4" w:space="0" w:color="auto"/>
            </w:tcBorders>
            <w:shd w:val="clear" w:color="auto" w:fill="auto"/>
            <w:noWrap/>
            <w:vAlign w:val="bottom"/>
            <w:hideMark/>
          </w:tcPr>
          <w:p w14:paraId="3B3D671A" w14:textId="77777777" w:rsidR="006C2554" w:rsidRPr="006C2554" w:rsidRDefault="006C2554" w:rsidP="007E17ED">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Gender</w:t>
            </w:r>
          </w:p>
        </w:tc>
        <w:tc>
          <w:tcPr>
            <w:tcW w:w="996" w:type="dxa"/>
            <w:tcBorders>
              <w:top w:val="single" w:sz="4" w:space="0" w:color="auto"/>
            </w:tcBorders>
            <w:shd w:val="clear" w:color="auto" w:fill="auto"/>
            <w:noWrap/>
            <w:vAlign w:val="bottom"/>
            <w:hideMark/>
          </w:tcPr>
          <w:p w14:paraId="3DA913A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tcBorders>
              <w:top w:val="single" w:sz="4" w:space="0" w:color="auto"/>
            </w:tcBorders>
            <w:shd w:val="clear" w:color="auto" w:fill="auto"/>
            <w:noWrap/>
            <w:vAlign w:val="bottom"/>
            <w:hideMark/>
          </w:tcPr>
          <w:p w14:paraId="1A63EB4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tcBorders>
              <w:top w:val="single" w:sz="4" w:space="0" w:color="auto"/>
            </w:tcBorders>
            <w:shd w:val="clear" w:color="auto" w:fill="auto"/>
            <w:noWrap/>
            <w:vAlign w:val="bottom"/>
            <w:hideMark/>
          </w:tcPr>
          <w:p w14:paraId="0644BA3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tcBorders>
              <w:top w:val="single" w:sz="4" w:space="0" w:color="auto"/>
            </w:tcBorders>
            <w:shd w:val="clear" w:color="auto" w:fill="auto"/>
            <w:noWrap/>
            <w:vAlign w:val="bottom"/>
            <w:hideMark/>
          </w:tcPr>
          <w:p w14:paraId="15A879C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tcBorders>
              <w:top w:val="single" w:sz="4" w:space="0" w:color="auto"/>
            </w:tcBorders>
            <w:shd w:val="clear" w:color="auto" w:fill="auto"/>
            <w:noWrap/>
            <w:vAlign w:val="bottom"/>
            <w:hideMark/>
          </w:tcPr>
          <w:p w14:paraId="7B5521D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tcBorders>
              <w:top w:val="single" w:sz="4" w:space="0" w:color="auto"/>
            </w:tcBorders>
            <w:shd w:val="clear" w:color="auto" w:fill="auto"/>
            <w:noWrap/>
            <w:vAlign w:val="bottom"/>
            <w:hideMark/>
          </w:tcPr>
          <w:p w14:paraId="0C00C8D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tcBorders>
              <w:top w:val="single" w:sz="4" w:space="0" w:color="auto"/>
            </w:tcBorders>
            <w:shd w:val="clear" w:color="auto" w:fill="auto"/>
            <w:noWrap/>
            <w:vAlign w:val="bottom"/>
            <w:hideMark/>
          </w:tcPr>
          <w:p w14:paraId="1525CAB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tcBorders>
              <w:top w:val="single" w:sz="4" w:space="0" w:color="auto"/>
            </w:tcBorders>
            <w:shd w:val="clear" w:color="auto" w:fill="auto"/>
            <w:noWrap/>
            <w:vAlign w:val="bottom"/>
            <w:hideMark/>
          </w:tcPr>
          <w:p w14:paraId="65DF2D9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tcBorders>
              <w:top w:val="single" w:sz="4" w:space="0" w:color="auto"/>
            </w:tcBorders>
            <w:shd w:val="clear" w:color="auto" w:fill="auto"/>
            <w:noWrap/>
            <w:vAlign w:val="bottom"/>
            <w:hideMark/>
          </w:tcPr>
          <w:p w14:paraId="3DE5DD6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tcBorders>
              <w:top w:val="single" w:sz="4" w:space="0" w:color="auto"/>
            </w:tcBorders>
            <w:shd w:val="clear" w:color="auto" w:fill="auto"/>
            <w:noWrap/>
            <w:vAlign w:val="bottom"/>
            <w:hideMark/>
          </w:tcPr>
          <w:p w14:paraId="366B1AB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tcBorders>
              <w:top w:val="single" w:sz="4" w:space="0" w:color="auto"/>
            </w:tcBorders>
            <w:shd w:val="clear" w:color="auto" w:fill="auto"/>
            <w:noWrap/>
            <w:vAlign w:val="bottom"/>
            <w:hideMark/>
          </w:tcPr>
          <w:p w14:paraId="45EDEDE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tcBorders>
              <w:top w:val="single" w:sz="4" w:space="0" w:color="auto"/>
            </w:tcBorders>
            <w:shd w:val="clear" w:color="auto" w:fill="auto"/>
            <w:noWrap/>
            <w:vAlign w:val="bottom"/>
            <w:hideMark/>
          </w:tcPr>
          <w:p w14:paraId="53CD5D1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7D8E50C" w14:textId="77777777" w:rsidTr="007E17ED">
        <w:trPr>
          <w:trHeight w:val="187"/>
        </w:trPr>
        <w:tc>
          <w:tcPr>
            <w:tcW w:w="3266" w:type="dxa"/>
            <w:shd w:val="clear" w:color="auto" w:fill="auto"/>
            <w:noWrap/>
            <w:vAlign w:val="center"/>
            <w:hideMark/>
          </w:tcPr>
          <w:p w14:paraId="23216B0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Female</w:t>
            </w:r>
          </w:p>
        </w:tc>
        <w:tc>
          <w:tcPr>
            <w:tcW w:w="996" w:type="dxa"/>
            <w:shd w:val="clear" w:color="auto" w:fill="auto"/>
            <w:noWrap/>
            <w:vAlign w:val="center"/>
            <w:hideMark/>
          </w:tcPr>
          <w:p w14:paraId="5413F855"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27 (18.2)</w:t>
            </w:r>
          </w:p>
        </w:tc>
        <w:tc>
          <w:tcPr>
            <w:tcW w:w="1039" w:type="dxa"/>
            <w:shd w:val="clear" w:color="auto" w:fill="auto"/>
            <w:noWrap/>
            <w:vAlign w:val="center"/>
            <w:hideMark/>
          </w:tcPr>
          <w:p w14:paraId="1D2ABA56"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121 (81.8)</w:t>
            </w:r>
          </w:p>
        </w:tc>
        <w:tc>
          <w:tcPr>
            <w:tcW w:w="731" w:type="dxa"/>
            <w:shd w:val="clear" w:color="auto" w:fill="auto"/>
            <w:noWrap/>
            <w:vAlign w:val="center"/>
            <w:hideMark/>
          </w:tcPr>
          <w:p w14:paraId="0B3B2679"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0.009</w:t>
            </w:r>
          </w:p>
        </w:tc>
        <w:tc>
          <w:tcPr>
            <w:tcW w:w="643" w:type="dxa"/>
            <w:shd w:val="clear" w:color="auto" w:fill="auto"/>
            <w:vAlign w:val="center"/>
            <w:hideMark/>
          </w:tcPr>
          <w:p w14:paraId="773FB06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0.458</w:t>
            </w:r>
          </w:p>
        </w:tc>
        <w:tc>
          <w:tcPr>
            <w:tcW w:w="737" w:type="dxa"/>
            <w:shd w:val="clear" w:color="auto" w:fill="auto"/>
            <w:vAlign w:val="center"/>
            <w:hideMark/>
          </w:tcPr>
          <w:p w14:paraId="615EF49F"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0.258</w:t>
            </w:r>
          </w:p>
        </w:tc>
        <w:tc>
          <w:tcPr>
            <w:tcW w:w="741" w:type="dxa"/>
            <w:shd w:val="clear" w:color="auto" w:fill="auto"/>
            <w:vAlign w:val="center"/>
            <w:hideMark/>
          </w:tcPr>
          <w:p w14:paraId="12DB6130"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0.813</w:t>
            </w:r>
          </w:p>
        </w:tc>
        <w:tc>
          <w:tcPr>
            <w:tcW w:w="1137" w:type="dxa"/>
            <w:shd w:val="clear" w:color="auto" w:fill="auto"/>
            <w:noWrap/>
            <w:vAlign w:val="center"/>
            <w:hideMark/>
          </w:tcPr>
          <w:p w14:paraId="052C37B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  (10.8)</w:t>
            </w:r>
          </w:p>
        </w:tc>
        <w:tc>
          <w:tcPr>
            <w:tcW w:w="992" w:type="dxa"/>
            <w:shd w:val="clear" w:color="auto" w:fill="auto"/>
            <w:noWrap/>
            <w:vAlign w:val="center"/>
            <w:hideMark/>
          </w:tcPr>
          <w:p w14:paraId="0C625A0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132 (89.2)</w:t>
            </w:r>
          </w:p>
        </w:tc>
        <w:tc>
          <w:tcPr>
            <w:tcW w:w="731" w:type="dxa"/>
            <w:shd w:val="clear" w:color="auto" w:fill="auto"/>
            <w:noWrap/>
            <w:vAlign w:val="center"/>
            <w:hideMark/>
          </w:tcPr>
          <w:p w14:paraId="34254DC9"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0.002</w:t>
            </w:r>
          </w:p>
        </w:tc>
        <w:tc>
          <w:tcPr>
            <w:tcW w:w="925" w:type="dxa"/>
            <w:shd w:val="clear" w:color="auto" w:fill="auto"/>
            <w:vAlign w:val="center"/>
            <w:hideMark/>
          </w:tcPr>
          <w:p w14:paraId="1625E02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0.335</w:t>
            </w:r>
          </w:p>
        </w:tc>
        <w:tc>
          <w:tcPr>
            <w:tcW w:w="988" w:type="dxa"/>
            <w:shd w:val="clear" w:color="auto" w:fill="auto"/>
            <w:vAlign w:val="center"/>
            <w:hideMark/>
          </w:tcPr>
          <w:p w14:paraId="4615F51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0.172</w:t>
            </w:r>
          </w:p>
        </w:tc>
        <w:tc>
          <w:tcPr>
            <w:tcW w:w="998" w:type="dxa"/>
            <w:gridSpan w:val="2"/>
            <w:shd w:val="clear" w:color="auto" w:fill="auto"/>
            <w:vAlign w:val="center"/>
            <w:hideMark/>
          </w:tcPr>
          <w:p w14:paraId="5369406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0.653</w:t>
            </w:r>
          </w:p>
        </w:tc>
      </w:tr>
      <w:tr w:rsidR="006C2554" w:rsidRPr="006C2554" w14:paraId="06D677DC" w14:textId="77777777" w:rsidTr="007E17ED">
        <w:trPr>
          <w:trHeight w:val="187"/>
        </w:trPr>
        <w:tc>
          <w:tcPr>
            <w:tcW w:w="3266" w:type="dxa"/>
            <w:shd w:val="clear" w:color="auto" w:fill="auto"/>
            <w:noWrap/>
            <w:vAlign w:val="center"/>
            <w:hideMark/>
          </w:tcPr>
          <w:p w14:paraId="26D7BC3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Male</w:t>
            </w:r>
          </w:p>
        </w:tc>
        <w:tc>
          <w:tcPr>
            <w:tcW w:w="996" w:type="dxa"/>
            <w:shd w:val="clear" w:color="auto" w:fill="auto"/>
            <w:noWrap/>
            <w:vAlign w:val="center"/>
            <w:hideMark/>
          </w:tcPr>
          <w:p w14:paraId="3D5CBFC2"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37 (32.7)</w:t>
            </w:r>
          </w:p>
        </w:tc>
        <w:tc>
          <w:tcPr>
            <w:tcW w:w="1039" w:type="dxa"/>
            <w:shd w:val="clear" w:color="auto" w:fill="auto"/>
            <w:noWrap/>
            <w:vAlign w:val="center"/>
            <w:hideMark/>
          </w:tcPr>
          <w:p w14:paraId="2A354248"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76 (67.3)</w:t>
            </w:r>
          </w:p>
        </w:tc>
        <w:tc>
          <w:tcPr>
            <w:tcW w:w="731" w:type="dxa"/>
            <w:shd w:val="clear" w:color="auto" w:fill="auto"/>
            <w:noWrap/>
            <w:vAlign w:val="center"/>
            <w:hideMark/>
          </w:tcPr>
          <w:p w14:paraId="583C7E9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3D1A78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D138CE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3211449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5B826545"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30 (26.5)</w:t>
            </w:r>
          </w:p>
        </w:tc>
        <w:tc>
          <w:tcPr>
            <w:tcW w:w="992" w:type="dxa"/>
            <w:shd w:val="clear" w:color="auto" w:fill="auto"/>
            <w:noWrap/>
            <w:vAlign w:val="center"/>
            <w:hideMark/>
          </w:tcPr>
          <w:p w14:paraId="3473FC48"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83 (73.5)</w:t>
            </w:r>
          </w:p>
        </w:tc>
        <w:tc>
          <w:tcPr>
            <w:tcW w:w="731" w:type="dxa"/>
            <w:shd w:val="clear" w:color="auto" w:fill="auto"/>
            <w:noWrap/>
            <w:vAlign w:val="center"/>
            <w:hideMark/>
          </w:tcPr>
          <w:p w14:paraId="60A2256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4782CD8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0142C82"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20FC36F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762F2D9" w14:textId="77777777" w:rsidTr="007E17ED">
        <w:trPr>
          <w:trHeight w:val="187"/>
        </w:trPr>
        <w:tc>
          <w:tcPr>
            <w:tcW w:w="3266" w:type="dxa"/>
            <w:shd w:val="clear" w:color="auto" w:fill="auto"/>
            <w:noWrap/>
            <w:vAlign w:val="bottom"/>
            <w:hideMark/>
          </w:tcPr>
          <w:p w14:paraId="6CC0DBE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Age</w:t>
            </w:r>
          </w:p>
          <w:p w14:paraId="3DC13AD5" w14:textId="77777777" w:rsidR="006C2554" w:rsidRPr="006C2554" w:rsidRDefault="006C2554" w:rsidP="007E17ED">
            <w:pPr>
              <w:spacing w:after="0" w:line="334" w:lineRule="auto"/>
              <w:contextualSpacing/>
              <w:rPr>
                <w:rFonts w:ascii="Arial" w:hAnsi="Arial" w:cs="Arial"/>
                <w:color w:val="000000"/>
                <w:sz w:val="16"/>
                <w:szCs w:val="16"/>
              </w:rPr>
            </w:pPr>
          </w:p>
        </w:tc>
        <w:tc>
          <w:tcPr>
            <w:tcW w:w="996" w:type="dxa"/>
            <w:shd w:val="clear" w:color="auto" w:fill="auto"/>
            <w:noWrap/>
            <w:vAlign w:val="center"/>
            <w:hideMark/>
          </w:tcPr>
          <w:p w14:paraId="38FAD86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0A4D4EF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52DA7E1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32432F1"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EC30152"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5A16825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2C938F3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33E8EBC5"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09A9BB6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4F8772A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1A4548E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6F0AAB85"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4C94F6D" w14:textId="77777777" w:rsidTr="007E17ED">
        <w:trPr>
          <w:trHeight w:val="187"/>
        </w:trPr>
        <w:tc>
          <w:tcPr>
            <w:tcW w:w="3266" w:type="dxa"/>
            <w:shd w:val="clear" w:color="auto" w:fill="auto"/>
            <w:noWrap/>
            <w:vAlign w:val="center"/>
            <w:hideMark/>
          </w:tcPr>
          <w:p w14:paraId="7A0B271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 25 </w:t>
            </w:r>
            <w:proofErr w:type="spellStart"/>
            <w:r w:rsidRPr="006C2554">
              <w:rPr>
                <w:rFonts w:ascii="Arial" w:hAnsi="Arial" w:cs="Arial"/>
                <w:color w:val="000000"/>
                <w:sz w:val="16"/>
                <w:szCs w:val="16"/>
              </w:rPr>
              <w:t>tahun</w:t>
            </w:r>
            <w:proofErr w:type="spellEnd"/>
          </w:p>
        </w:tc>
        <w:tc>
          <w:tcPr>
            <w:tcW w:w="996" w:type="dxa"/>
            <w:shd w:val="clear" w:color="auto" w:fill="auto"/>
            <w:vAlign w:val="center"/>
            <w:hideMark/>
          </w:tcPr>
          <w:p w14:paraId="18E7FA1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27 (23.3)</w:t>
            </w:r>
          </w:p>
        </w:tc>
        <w:tc>
          <w:tcPr>
            <w:tcW w:w="1039" w:type="dxa"/>
            <w:shd w:val="clear" w:color="auto" w:fill="auto"/>
            <w:vAlign w:val="center"/>
            <w:hideMark/>
          </w:tcPr>
          <w:p w14:paraId="1672490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89 (76.7)</w:t>
            </w:r>
          </w:p>
        </w:tc>
        <w:tc>
          <w:tcPr>
            <w:tcW w:w="731" w:type="dxa"/>
            <w:shd w:val="clear" w:color="auto" w:fill="auto"/>
            <w:noWrap/>
            <w:vAlign w:val="center"/>
            <w:hideMark/>
          </w:tcPr>
          <w:p w14:paraId="39696BD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0.215</w:t>
            </w:r>
          </w:p>
        </w:tc>
        <w:tc>
          <w:tcPr>
            <w:tcW w:w="643" w:type="dxa"/>
            <w:shd w:val="clear" w:color="auto" w:fill="auto"/>
            <w:vAlign w:val="center"/>
            <w:hideMark/>
          </w:tcPr>
          <w:p w14:paraId="1C5BC598"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737" w:type="dxa"/>
            <w:shd w:val="clear" w:color="auto" w:fill="auto"/>
            <w:vAlign w:val="center"/>
            <w:hideMark/>
          </w:tcPr>
          <w:p w14:paraId="07B81690"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741" w:type="dxa"/>
            <w:shd w:val="clear" w:color="auto" w:fill="auto"/>
            <w:vAlign w:val="center"/>
            <w:hideMark/>
          </w:tcPr>
          <w:p w14:paraId="3C464A96"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1137" w:type="dxa"/>
            <w:shd w:val="clear" w:color="auto" w:fill="auto"/>
            <w:vAlign w:val="center"/>
            <w:hideMark/>
          </w:tcPr>
          <w:p w14:paraId="6FA81FC6"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20 (17.2)</w:t>
            </w:r>
          </w:p>
        </w:tc>
        <w:tc>
          <w:tcPr>
            <w:tcW w:w="992" w:type="dxa"/>
            <w:shd w:val="clear" w:color="auto" w:fill="auto"/>
            <w:vAlign w:val="center"/>
            <w:hideMark/>
          </w:tcPr>
          <w:p w14:paraId="1FD7F37B"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96 (82.8)</w:t>
            </w:r>
          </w:p>
        </w:tc>
        <w:tc>
          <w:tcPr>
            <w:tcW w:w="731" w:type="dxa"/>
            <w:shd w:val="clear" w:color="auto" w:fill="auto"/>
            <w:noWrap/>
            <w:vAlign w:val="center"/>
            <w:hideMark/>
          </w:tcPr>
          <w:p w14:paraId="3AA4759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0.071</w:t>
            </w:r>
          </w:p>
        </w:tc>
        <w:tc>
          <w:tcPr>
            <w:tcW w:w="925" w:type="dxa"/>
            <w:shd w:val="clear" w:color="auto" w:fill="auto"/>
            <w:vAlign w:val="center"/>
            <w:hideMark/>
          </w:tcPr>
          <w:p w14:paraId="5240461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988" w:type="dxa"/>
            <w:shd w:val="clear" w:color="auto" w:fill="auto"/>
            <w:vAlign w:val="center"/>
            <w:hideMark/>
          </w:tcPr>
          <w:p w14:paraId="06CE0CEB"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c>
          <w:tcPr>
            <w:tcW w:w="998" w:type="dxa"/>
            <w:gridSpan w:val="2"/>
            <w:shd w:val="clear" w:color="auto" w:fill="auto"/>
            <w:vAlign w:val="center"/>
            <w:hideMark/>
          </w:tcPr>
          <w:p w14:paraId="29D25310"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w:t>
            </w:r>
          </w:p>
        </w:tc>
      </w:tr>
      <w:tr w:rsidR="006C2554" w:rsidRPr="006C2554" w14:paraId="150D7F73" w14:textId="77777777" w:rsidTr="007E17ED">
        <w:trPr>
          <w:trHeight w:val="187"/>
        </w:trPr>
        <w:tc>
          <w:tcPr>
            <w:tcW w:w="3266" w:type="dxa"/>
            <w:shd w:val="clear" w:color="auto" w:fill="auto"/>
            <w:noWrap/>
            <w:vAlign w:val="center"/>
            <w:hideMark/>
          </w:tcPr>
          <w:p w14:paraId="39F8CE6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26– 45 </w:t>
            </w:r>
            <w:proofErr w:type="spellStart"/>
            <w:r w:rsidRPr="006C2554">
              <w:rPr>
                <w:rFonts w:ascii="Arial" w:hAnsi="Arial" w:cs="Arial"/>
                <w:color w:val="000000"/>
                <w:sz w:val="16"/>
                <w:szCs w:val="16"/>
              </w:rPr>
              <w:t>tahun</w:t>
            </w:r>
            <w:proofErr w:type="spellEnd"/>
          </w:p>
        </w:tc>
        <w:tc>
          <w:tcPr>
            <w:tcW w:w="996" w:type="dxa"/>
            <w:shd w:val="clear" w:color="auto" w:fill="auto"/>
            <w:vAlign w:val="center"/>
            <w:hideMark/>
          </w:tcPr>
          <w:p w14:paraId="191436E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24 (22.0)</w:t>
            </w:r>
          </w:p>
        </w:tc>
        <w:tc>
          <w:tcPr>
            <w:tcW w:w="1039" w:type="dxa"/>
            <w:shd w:val="clear" w:color="auto" w:fill="auto"/>
            <w:vAlign w:val="center"/>
            <w:hideMark/>
          </w:tcPr>
          <w:p w14:paraId="378A9601"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85 (78.0)</w:t>
            </w:r>
          </w:p>
        </w:tc>
        <w:tc>
          <w:tcPr>
            <w:tcW w:w="731" w:type="dxa"/>
            <w:shd w:val="clear" w:color="auto" w:fill="auto"/>
            <w:noWrap/>
            <w:vAlign w:val="center"/>
            <w:hideMark/>
          </w:tcPr>
          <w:p w14:paraId="5AA981A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33DF9C9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24880EA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2A7BBF2"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vAlign w:val="center"/>
            <w:hideMark/>
          </w:tcPr>
          <w:p w14:paraId="47E1F620"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 (13.8)</w:t>
            </w:r>
          </w:p>
        </w:tc>
        <w:tc>
          <w:tcPr>
            <w:tcW w:w="992" w:type="dxa"/>
            <w:shd w:val="clear" w:color="auto" w:fill="auto"/>
            <w:vAlign w:val="center"/>
            <w:hideMark/>
          </w:tcPr>
          <w:p w14:paraId="42AC00D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94  (86.2)</w:t>
            </w:r>
          </w:p>
        </w:tc>
        <w:tc>
          <w:tcPr>
            <w:tcW w:w="731" w:type="dxa"/>
            <w:shd w:val="clear" w:color="auto" w:fill="auto"/>
            <w:noWrap/>
            <w:vAlign w:val="center"/>
            <w:hideMark/>
          </w:tcPr>
          <w:p w14:paraId="5BA9226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029AA62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1E44DD5"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2E8A91F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EA7CAAA" w14:textId="77777777" w:rsidTr="007E17ED">
        <w:trPr>
          <w:trHeight w:val="187"/>
        </w:trPr>
        <w:tc>
          <w:tcPr>
            <w:tcW w:w="3266" w:type="dxa"/>
            <w:shd w:val="clear" w:color="auto" w:fill="auto"/>
            <w:noWrap/>
            <w:vAlign w:val="bottom"/>
            <w:hideMark/>
          </w:tcPr>
          <w:p w14:paraId="41DF13C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&gt;45 </w:t>
            </w:r>
            <w:proofErr w:type="spellStart"/>
            <w:r w:rsidRPr="006C2554">
              <w:rPr>
                <w:rFonts w:ascii="Arial" w:hAnsi="Arial" w:cs="Arial"/>
                <w:color w:val="000000"/>
                <w:sz w:val="16"/>
                <w:szCs w:val="16"/>
              </w:rPr>
              <w:t>tahun</w:t>
            </w:r>
            <w:proofErr w:type="spellEnd"/>
          </w:p>
        </w:tc>
        <w:tc>
          <w:tcPr>
            <w:tcW w:w="996" w:type="dxa"/>
            <w:shd w:val="clear" w:color="auto" w:fill="auto"/>
            <w:vAlign w:val="center"/>
            <w:hideMark/>
          </w:tcPr>
          <w:p w14:paraId="260596B3"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 (36.1)</w:t>
            </w:r>
          </w:p>
        </w:tc>
        <w:tc>
          <w:tcPr>
            <w:tcW w:w="1039" w:type="dxa"/>
            <w:shd w:val="clear" w:color="auto" w:fill="auto"/>
            <w:vAlign w:val="center"/>
            <w:hideMark/>
          </w:tcPr>
          <w:p w14:paraId="3F7324B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23 (63.9)</w:t>
            </w:r>
          </w:p>
        </w:tc>
        <w:tc>
          <w:tcPr>
            <w:tcW w:w="731" w:type="dxa"/>
            <w:shd w:val="clear" w:color="auto" w:fill="auto"/>
            <w:noWrap/>
            <w:vAlign w:val="center"/>
            <w:hideMark/>
          </w:tcPr>
          <w:p w14:paraId="3F54A2E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CFB3025"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B72D14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3ED4A3A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vAlign w:val="center"/>
            <w:hideMark/>
          </w:tcPr>
          <w:p w14:paraId="7E983E32"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 (30.6)</w:t>
            </w:r>
          </w:p>
        </w:tc>
        <w:tc>
          <w:tcPr>
            <w:tcW w:w="992" w:type="dxa"/>
            <w:shd w:val="clear" w:color="auto" w:fill="auto"/>
            <w:vAlign w:val="center"/>
            <w:hideMark/>
          </w:tcPr>
          <w:p w14:paraId="31970B43"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25 (69.4)</w:t>
            </w:r>
          </w:p>
        </w:tc>
        <w:tc>
          <w:tcPr>
            <w:tcW w:w="731" w:type="dxa"/>
            <w:shd w:val="clear" w:color="auto" w:fill="auto"/>
            <w:noWrap/>
            <w:vAlign w:val="center"/>
            <w:hideMark/>
          </w:tcPr>
          <w:p w14:paraId="0A97D00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7D134E7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68B6FDF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F3A67A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6EB2A33B" w14:textId="77777777" w:rsidTr="007E17ED">
        <w:trPr>
          <w:trHeight w:val="187"/>
        </w:trPr>
        <w:tc>
          <w:tcPr>
            <w:tcW w:w="3266" w:type="dxa"/>
            <w:shd w:val="clear" w:color="auto" w:fill="auto"/>
            <w:noWrap/>
            <w:vAlign w:val="bottom"/>
            <w:hideMark/>
          </w:tcPr>
          <w:p w14:paraId="5616906E" w14:textId="77777777" w:rsidR="006C2554" w:rsidRPr="006C2554" w:rsidRDefault="006C2554" w:rsidP="007E17ED">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Body Mass index (BMI)</w:t>
            </w:r>
          </w:p>
        </w:tc>
        <w:tc>
          <w:tcPr>
            <w:tcW w:w="996" w:type="dxa"/>
            <w:shd w:val="clear" w:color="auto" w:fill="auto"/>
            <w:noWrap/>
            <w:vAlign w:val="center"/>
            <w:hideMark/>
          </w:tcPr>
          <w:p w14:paraId="3AAFC06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0374ED3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37BDEB0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0BEDD89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E9ACE0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53DFC79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4AF8401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30BFD5E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4A7EAC9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78AF8E8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1FC501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799B49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2430DB70" w14:textId="77777777" w:rsidTr="007E17ED">
        <w:trPr>
          <w:trHeight w:val="187"/>
        </w:trPr>
        <w:tc>
          <w:tcPr>
            <w:tcW w:w="3266" w:type="dxa"/>
            <w:shd w:val="clear" w:color="auto" w:fill="auto"/>
            <w:noWrap/>
            <w:vAlign w:val="center"/>
            <w:hideMark/>
          </w:tcPr>
          <w:p w14:paraId="562D081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Underweight  - Normal (&lt;18,5 - 24,9)</w:t>
            </w:r>
          </w:p>
        </w:tc>
        <w:tc>
          <w:tcPr>
            <w:tcW w:w="996" w:type="dxa"/>
            <w:shd w:val="clear" w:color="auto" w:fill="auto"/>
            <w:vAlign w:val="center"/>
            <w:hideMark/>
          </w:tcPr>
          <w:p w14:paraId="189D402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35 (18.7)</w:t>
            </w:r>
          </w:p>
        </w:tc>
        <w:tc>
          <w:tcPr>
            <w:tcW w:w="1039" w:type="dxa"/>
            <w:shd w:val="clear" w:color="auto" w:fill="auto"/>
            <w:vAlign w:val="center"/>
            <w:hideMark/>
          </w:tcPr>
          <w:p w14:paraId="63B2655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152 (81.3)</w:t>
            </w:r>
          </w:p>
        </w:tc>
        <w:tc>
          <w:tcPr>
            <w:tcW w:w="731" w:type="dxa"/>
            <w:shd w:val="clear" w:color="auto" w:fill="auto"/>
            <w:noWrap/>
            <w:vAlign w:val="center"/>
            <w:hideMark/>
          </w:tcPr>
          <w:p w14:paraId="4DE79B24"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0.001</w:t>
            </w:r>
          </w:p>
        </w:tc>
        <w:tc>
          <w:tcPr>
            <w:tcW w:w="643" w:type="dxa"/>
            <w:shd w:val="clear" w:color="auto" w:fill="auto"/>
            <w:vAlign w:val="center"/>
            <w:hideMark/>
          </w:tcPr>
          <w:p w14:paraId="4937A5AB"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0.357</w:t>
            </w:r>
          </w:p>
        </w:tc>
        <w:tc>
          <w:tcPr>
            <w:tcW w:w="737" w:type="dxa"/>
            <w:shd w:val="clear" w:color="auto" w:fill="auto"/>
            <w:vAlign w:val="center"/>
            <w:hideMark/>
          </w:tcPr>
          <w:p w14:paraId="76DB790B"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0.197</w:t>
            </w:r>
          </w:p>
        </w:tc>
        <w:tc>
          <w:tcPr>
            <w:tcW w:w="741" w:type="dxa"/>
            <w:shd w:val="clear" w:color="auto" w:fill="auto"/>
            <w:vAlign w:val="center"/>
            <w:hideMark/>
          </w:tcPr>
          <w:p w14:paraId="5CBF98B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0.647</w:t>
            </w:r>
          </w:p>
        </w:tc>
        <w:tc>
          <w:tcPr>
            <w:tcW w:w="1137" w:type="dxa"/>
            <w:shd w:val="clear" w:color="auto" w:fill="auto"/>
            <w:vAlign w:val="center"/>
            <w:hideMark/>
          </w:tcPr>
          <w:p w14:paraId="3D52E99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29 (15.5)</w:t>
            </w:r>
          </w:p>
        </w:tc>
        <w:tc>
          <w:tcPr>
            <w:tcW w:w="992" w:type="dxa"/>
            <w:shd w:val="clear" w:color="auto" w:fill="auto"/>
            <w:vAlign w:val="center"/>
            <w:hideMark/>
          </w:tcPr>
          <w:p w14:paraId="30D9284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158 (85.5)</w:t>
            </w:r>
          </w:p>
        </w:tc>
        <w:tc>
          <w:tcPr>
            <w:tcW w:w="731" w:type="dxa"/>
            <w:shd w:val="clear" w:color="auto" w:fill="auto"/>
            <w:noWrap/>
            <w:vAlign w:val="center"/>
            <w:hideMark/>
          </w:tcPr>
          <w:p w14:paraId="15EA98B0"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0.155</w:t>
            </w:r>
          </w:p>
        </w:tc>
        <w:tc>
          <w:tcPr>
            <w:tcW w:w="925" w:type="dxa"/>
            <w:shd w:val="clear" w:color="auto" w:fill="auto"/>
            <w:vAlign w:val="center"/>
            <w:hideMark/>
          </w:tcPr>
          <w:p w14:paraId="63F06590"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0.615</w:t>
            </w:r>
          </w:p>
        </w:tc>
        <w:tc>
          <w:tcPr>
            <w:tcW w:w="988" w:type="dxa"/>
            <w:shd w:val="clear" w:color="auto" w:fill="auto"/>
            <w:vAlign w:val="center"/>
            <w:hideMark/>
          </w:tcPr>
          <w:p w14:paraId="1875260C"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0.315</w:t>
            </w:r>
          </w:p>
        </w:tc>
        <w:tc>
          <w:tcPr>
            <w:tcW w:w="998" w:type="dxa"/>
            <w:gridSpan w:val="2"/>
            <w:shd w:val="clear" w:color="auto" w:fill="auto"/>
            <w:vAlign w:val="center"/>
            <w:hideMark/>
          </w:tcPr>
          <w:p w14:paraId="614160F1"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1.204</w:t>
            </w:r>
          </w:p>
        </w:tc>
      </w:tr>
      <w:tr w:rsidR="006C2554" w:rsidRPr="006C2554" w14:paraId="72AF681A" w14:textId="77777777" w:rsidTr="007E17ED">
        <w:trPr>
          <w:trHeight w:val="187"/>
        </w:trPr>
        <w:tc>
          <w:tcPr>
            <w:tcW w:w="3266" w:type="dxa"/>
            <w:shd w:val="clear" w:color="auto" w:fill="auto"/>
            <w:noWrap/>
            <w:vAlign w:val="center"/>
            <w:hideMark/>
          </w:tcPr>
          <w:p w14:paraId="015F2205"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Overweight  - Obese (25 - ≥ 27)</w:t>
            </w:r>
          </w:p>
        </w:tc>
        <w:tc>
          <w:tcPr>
            <w:tcW w:w="996" w:type="dxa"/>
            <w:shd w:val="clear" w:color="auto" w:fill="auto"/>
            <w:vAlign w:val="center"/>
            <w:hideMark/>
          </w:tcPr>
          <w:p w14:paraId="39A8D47C"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29 (39.2)</w:t>
            </w:r>
          </w:p>
        </w:tc>
        <w:tc>
          <w:tcPr>
            <w:tcW w:w="1039" w:type="dxa"/>
            <w:shd w:val="clear" w:color="auto" w:fill="auto"/>
            <w:vAlign w:val="center"/>
            <w:hideMark/>
          </w:tcPr>
          <w:p w14:paraId="1CEC7B82"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45 (60.8)</w:t>
            </w:r>
          </w:p>
        </w:tc>
        <w:tc>
          <w:tcPr>
            <w:tcW w:w="731" w:type="dxa"/>
            <w:shd w:val="clear" w:color="auto" w:fill="auto"/>
            <w:noWrap/>
            <w:vAlign w:val="center"/>
            <w:hideMark/>
          </w:tcPr>
          <w:p w14:paraId="374ADCB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4E02B5B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5903229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68541D7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vAlign w:val="center"/>
            <w:hideMark/>
          </w:tcPr>
          <w:p w14:paraId="7DFBCADA"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17 (23.0)</w:t>
            </w:r>
          </w:p>
        </w:tc>
        <w:tc>
          <w:tcPr>
            <w:tcW w:w="992" w:type="dxa"/>
            <w:shd w:val="clear" w:color="auto" w:fill="auto"/>
            <w:vAlign w:val="center"/>
            <w:hideMark/>
          </w:tcPr>
          <w:p w14:paraId="3FA1FED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57 (77.0)</w:t>
            </w:r>
          </w:p>
        </w:tc>
        <w:tc>
          <w:tcPr>
            <w:tcW w:w="731" w:type="dxa"/>
            <w:shd w:val="clear" w:color="auto" w:fill="auto"/>
            <w:noWrap/>
            <w:vAlign w:val="center"/>
            <w:hideMark/>
          </w:tcPr>
          <w:p w14:paraId="44BB2CE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5BB6010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7052D125"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342E639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44ED235C" w14:textId="77777777" w:rsidTr="007E17ED">
        <w:trPr>
          <w:trHeight w:val="187"/>
        </w:trPr>
        <w:tc>
          <w:tcPr>
            <w:tcW w:w="3266" w:type="dxa"/>
            <w:shd w:val="clear" w:color="auto" w:fill="auto"/>
            <w:noWrap/>
            <w:vAlign w:val="center"/>
            <w:hideMark/>
          </w:tcPr>
          <w:p w14:paraId="4E399BE4" w14:textId="77777777" w:rsidR="006C2554" w:rsidRPr="006C2554" w:rsidRDefault="006C2554" w:rsidP="007E17ED">
            <w:pPr>
              <w:spacing w:after="0" w:line="334" w:lineRule="auto"/>
              <w:contextualSpacing/>
              <w:rPr>
                <w:rFonts w:ascii="Arial" w:hAnsi="Arial" w:cs="Arial"/>
                <w:b/>
                <w:bCs/>
                <w:color w:val="000000"/>
                <w:sz w:val="16"/>
                <w:szCs w:val="16"/>
              </w:rPr>
            </w:pPr>
            <w:proofErr w:type="spellStart"/>
            <w:r w:rsidRPr="006C2554">
              <w:rPr>
                <w:rFonts w:ascii="Arial" w:hAnsi="Arial" w:cs="Arial"/>
                <w:b/>
                <w:bCs/>
                <w:color w:val="000000"/>
                <w:sz w:val="16"/>
                <w:szCs w:val="16"/>
              </w:rPr>
              <w:t>Vacccine</w:t>
            </w:r>
            <w:proofErr w:type="spellEnd"/>
            <w:r w:rsidRPr="006C2554">
              <w:rPr>
                <w:rFonts w:ascii="Arial" w:hAnsi="Arial" w:cs="Arial"/>
                <w:b/>
                <w:bCs/>
                <w:color w:val="000000"/>
                <w:sz w:val="16"/>
                <w:szCs w:val="16"/>
              </w:rPr>
              <w:t xml:space="preserve"> type</w:t>
            </w:r>
          </w:p>
        </w:tc>
        <w:tc>
          <w:tcPr>
            <w:tcW w:w="996" w:type="dxa"/>
            <w:shd w:val="clear" w:color="auto" w:fill="auto"/>
            <w:noWrap/>
            <w:vAlign w:val="center"/>
            <w:hideMark/>
          </w:tcPr>
          <w:p w14:paraId="131E49C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0C0129D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23AFE392"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DBA1B2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57B15D9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4A607EA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72E80F8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4BA9A595"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46422DA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73DE486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318D082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0A7EFE4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691E044" w14:textId="77777777" w:rsidTr="007E17ED">
        <w:trPr>
          <w:trHeight w:val="187"/>
        </w:trPr>
        <w:tc>
          <w:tcPr>
            <w:tcW w:w="3266" w:type="dxa"/>
            <w:shd w:val="clear" w:color="auto" w:fill="auto"/>
            <w:noWrap/>
            <w:vAlign w:val="center"/>
            <w:hideMark/>
          </w:tcPr>
          <w:p w14:paraId="5872642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Pfizer</w:t>
            </w:r>
          </w:p>
        </w:tc>
        <w:tc>
          <w:tcPr>
            <w:tcW w:w="996" w:type="dxa"/>
            <w:shd w:val="clear" w:color="auto" w:fill="auto"/>
            <w:noWrap/>
            <w:vAlign w:val="center"/>
            <w:hideMark/>
          </w:tcPr>
          <w:p w14:paraId="3778FCF1"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24 (16.1)</w:t>
            </w:r>
          </w:p>
        </w:tc>
        <w:tc>
          <w:tcPr>
            <w:tcW w:w="1039" w:type="dxa"/>
            <w:shd w:val="clear" w:color="auto" w:fill="auto"/>
            <w:noWrap/>
            <w:vAlign w:val="center"/>
            <w:hideMark/>
          </w:tcPr>
          <w:p w14:paraId="378C7C0C"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125 (83.9)</w:t>
            </w:r>
          </w:p>
        </w:tc>
        <w:tc>
          <w:tcPr>
            <w:tcW w:w="731" w:type="dxa"/>
            <w:shd w:val="clear" w:color="auto" w:fill="auto"/>
            <w:noWrap/>
            <w:vAlign w:val="center"/>
            <w:hideMark/>
          </w:tcPr>
          <w:p w14:paraId="237FB1AD"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&lt;0.001</w:t>
            </w:r>
          </w:p>
        </w:tc>
        <w:tc>
          <w:tcPr>
            <w:tcW w:w="643" w:type="dxa"/>
            <w:shd w:val="clear" w:color="auto" w:fill="auto"/>
            <w:vAlign w:val="center"/>
            <w:hideMark/>
          </w:tcPr>
          <w:p w14:paraId="74D0011A"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2.894</w:t>
            </w:r>
          </w:p>
        </w:tc>
        <w:tc>
          <w:tcPr>
            <w:tcW w:w="737" w:type="dxa"/>
            <w:shd w:val="clear" w:color="auto" w:fill="auto"/>
            <w:vAlign w:val="center"/>
            <w:hideMark/>
          </w:tcPr>
          <w:p w14:paraId="6AC738A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1.615</w:t>
            </w:r>
          </w:p>
        </w:tc>
        <w:tc>
          <w:tcPr>
            <w:tcW w:w="741" w:type="dxa"/>
            <w:shd w:val="clear" w:color="auto" w:fill="auto"/>
            <w:vAlign w:val="center"/>
            <w:hideMark/>
          </w:tcPr>
          <w:p w14:paraId="77D65D53"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5.185</w:t>
            </w:r>
          </w:p>
        </w:tc>
        <w:tc>
          <w:tcPr>
            <w:tcW w:w="1137" w:type="dxa"/>
            <w:shd w:val="clear" w:color="auto" w:fill="auto"/>
            <w:noWrap/>
            <w:vAlign w:val="center"/>
            <w:hideMark/>
          </w:tcPr>
          <w:p w14:paraId="75C72B91"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 (10.1)</w:t>
            </w:r>
          </w:p>
        </w:tc>
        <w:tc>
          <w:tcPr>
            <w:tcW w:w="992" w:type="dxa"/>
            <w:shd w:val="clear" w:color="auto" w:fill="auto"/>
            <w:noWrap/>
            <w:vAlign w:val="center"/>
            <w:hideMark/>
          </w:tcPr>
          <w:p w14:paraId="74DF419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134 (89.9)</w:t>
            </w:r>
          </w:p>
        </w:tc>
        <w:tc>
          <w:tcPr>
            <w:tcW w:w="731" w:type="dxa"/>
            <w:shd w:val="clear" w:color="auto" w:fill="auto"/>
            <w:noWrap/>
            <w:vAlign w:val="center"/>
            <w:hideMark/>
          </w:tcPr>
          <w:p w14:paraId="33E48863"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&lt;0.001</w:t>
            </w:r>
          </w:p>
        </w:tc>
        <w:tc>
          <w:tcPr>
            <w:tcW w:w="925" w:type="dxa"/>
            <w:shd w:val="clear" w:color="auto" w:fill="auto"/>
            <w:vAlign w:val="center"/>
            <w:hideMark/>
          </w:tcPr>
          <w:p w14:paraId="615116E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3.419</w:t>
            </w:r>
          </w:p>
        </w:tc>
        <w:tc>
          <w:tcPr>
            <w:tcW w:w="988" w:type="dxa"/>
            <w:shd w:val="clear" w:color="auto" w:fill="auto"/>
            <w:vAlign w:val="center"/>
            <w:hideMark/>
          </w:tcPr>
          <w:p w14:paraId="7EE88D0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1.74</w:t>
            </w:r>
          </w:p>
        </w:tc>
        <w:tc>
          <w:tcPr>
            <w:tcW w:w="998" w:type="dxa"/>
            <w:gridSpan w:val="2"/>
            <w:shd w:val="clear" w:color="auto" w:fill="auto"/>
            <w:vAlign w:val="center"/>
            <w:hideMark/>
          </w:tcPr>
          <w:p w14:paraId="3A785CE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6.717</w:t>
            </w:r>
          </w:p>
        </w:tc>
      </w:tr>
      <w:tr w:rsidR="006C2554" w:rsidRPr="006C2554" w14:paraId="7F984E1E" w14:textId="77777777" w:rsidTr="007E17ED">
        <w:trPr>
          <w:trHeight w:val="127"/>
        </w:trPr>
        <w:tc>
          <w:tcPr>
            <w:tcW w:w="3266" w:type="dxa"/>
            <w:shd w:val="clear" w:color="auto" w:fill="auto"/>
            <w:noWrap/>
            <w:vAlign w:val="center"/>
            <w:hideMark/>
          </w:tcPr>
          <w:p w14:paraId="1555675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Sinovac</w:t>
            </w:r>
          </w:p>
        </w:tc>
        <w:tc>
          <w:tcPr>
            <w:tcW w:w="996" w:type="dxa"/>
            <w:shd w:val="clear" w:color="auto" w:fill="auto"/>
            <w:noWrap/>
            <w:vAlign w:val="center"/>
            <w:hideMark/>
          </w:tcPr>
          <w:p w14:paraId="08698DBC"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40 (35.7)</w:t>
            </w:r>
          </w:p>
        </w:tc>
        <w:tc>
          <w:tcPr>
            <w:tcW w:w="1039" w:type="dxa"/>
            <w:shd w:val="clear" w:color="auto" w:fill="auto"/>
            <w:noWrap/>
            <w:vAlign w:val="center"/>
            <w:hideMark/>
          </w:tcPr>
          <w:p w14:paraId="546F09B6"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72 (64.3)</w:t>
            </w:r>
          </w:p>
        </w:tc>
        <w:tc>
          <w:tcPr>
            <w:tcW w:w="731" w:type="dxa"/>
            <w:shd w:val="clear" w:color="auto" w:fill="auto"/>
            <w:noWrap/>
            <w:vAlign w:val="center"/>
            <w:hideMark/>
          </w:tcPr>
          <w:p w14:paraId="42D46F9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6ACA0A4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63FA6EB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9761941"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62B3A3FC"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31 (27.7)</w:t>
            </w:r>
          </w:p>
        </w:tc>
        <w:tc>
          <w:tcPr>
            <w:tcW w:w="992" w:type="dxa"/>
            <w:shd w:val="clear" w:color="auto" w:fill="auto"/>
            <w:noWrap/>
            <w:vAlign w:val="center"/>
            <w:hideMark/>
          </w:tcPr>
          <w:p w14:paraId="20A6DE6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81 (72.3)</w:t>
            </w:r>
          </w:p>
        </w:tc>
        <w:tc>
          <w:tcPr>
            <w:tcW w:w="731" w:type="dxa"/>
            <w:shd w:val="clear" w:color="auto" w:fill="auto"/>
            <w:noWrap/>
            <w:vAlign w:val="center"/>
            <w:hideMark/>
          </w:tcPr>
          <w:p w14:paraId="3CAFDA4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4156D2F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3AE7B4B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660C43F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161AD7C0" w14:textId="77777777" w:rsidTr="007E17ED">
        <w:trPr>
          <w:trHeight w:val="187"/>
        </w:trPr>
        <w:tc>
          <w:tcPr>
            <w:tcW w:w="3266" w:type="dxa"/>
            <w:shd w:val="clear" w:color="auto" w:fill="auto"/>
            <w:noWrap/>
            <w:vAlign w:val="center"/>
            <w:hideMark/>
          </w:tcPr>
          <w:p w14:paraId="10F9CA9D" w14:textId="77777777" w:rsidR="006C2554" w:rsidRPr="006C2554" w:rsidRDefault="006C2554" w:rsidP="007E17ED">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 xml:space="preserve">Comorbidities </w:t>
            </w:r>
          </w:p>
        </w:tc>
        <w:tc>
          <w:tcPr>
            <w:tcW w:w="996" w:type="dxa"/>
            <w:shd w:val="clear" w:color="auto" w:fill="auto"/>
            <w:noWrap/>
            <w:vAlign w:val="center"/>
            <w:hideMark/>
          </w:tcPr>
          <w:p w14:paraId="59DEAA4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4E38077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5683429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049F477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6D85968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38ED2511"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7CB3DD9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1B497AB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6CF6B98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5038E04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3100515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743E539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554D8EE" w14:textId="77777777" w:rsidTr="007E17ED">
        <w:trPr>
          <w:trHeight w:val="187"/>
        </w:trPr>
        <w:tc>
          <w:tcPr>
            <w:tcW w:w="3266" w:type="dxa"/>
            <w:shd w:val="clear" w:color="auto" w:fill="auto"/>
            <w:noWrap/>
            <w:vAlign w:val="center"/>
            <w:hideMark/>
          </w:tcPr>
          <w:p w14:paraId="1ED3A44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38516B11"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62 (27)</w:t>
            </w:r>
          </w:p>
        </w:tc>
        <w:tc>
          <w:tcPr>
            <w:tcW w:w="1039" w:type="dxa"/>
            <w:shd w:val="clear" w:color="auto" w:fill="auto"/>
            <w:noWrap/>
            <w:vAlign w:val="center"/>
            <w:hideMark/>
          </w:tcPr>
          <w:p w14:paraId="2685450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168 (73)</w:t>
            </w:r>
          </w:p>
        </w:tc>
        <w:tc>
          <w:tcPr>
            <w:tcW w:w="731" w:type="dxa"/>
            <w:shd w:val="clear" w:color="auto" w:fill="auto"/>
            <w:noWrap/>
            <w:vAlign w:val="center"/>
            <w:hideMark/>
          </w:tcPr>
          <w:p w14:paraId="61B57C20"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0.013</w:t>
            </w:r>
          </w:p>
        </w:tc>
        <w:tc>
          <w:tcPr>
            <w:tcW w:w="643" w:type="dxa"/>
            <w:shd w:val="clear" w:color="auto" w:fill="auto"/>
            <w:vAlign w:val="center"/>
            <w:hideMark/>
          </w:tcPr>
          <w:p w14:paraId="0A67B105"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5.351</w:t>
            </w:r>
          </w:p>
        </w:tc>
        <w:tc>
          <w:tcPr>
            <w:tcW w:w="737" w:type="dxa"/>
            <w:shd w:val="clear" w:color="auto" w:fill="auto"/>
            <w:vAlign w:val="center"/>
            <w:hideMark/>
          </w:tcPr>
          <w:p w14:paraId="46FEB4A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1.24</w:t>
            </w:r>
          </w:p>
        </w:tc>
        <w:tc>
          <w:tcPr>
            <w:tcW w:w="741" w:type="dxa"/>
            <w:shd w:val="clear" w:color="auto" w:fill="auto"/>
            <w:vAlign w:val="center"/>
            <w:hideMark/>
          </w:tcPr>
          <w:p w14:paraId="346642F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23.093</w:t>
            </w:r>
          </w:p>
        </w:tc>
        <w:tc>
          <w:tcPr>
            <w:tcW w:w="1137" w:type="dxa"/>
            <w:shd w:val="clear" w:color="auto" w:fill="auto"/>
            <w:noWrap/>
            <w:vAlign w:val="center"/>
            <w:hideMark/>
          </w:tcPr>
          <w:p w14:paraId="5223C9B5"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45 (19.6)</w:t>
            </w:r>
          </w:p>
        </w:tc>
        <w:tc>
          <w:tcPr>
            <w:tcW w:w="992" w:type="dxa"/>
            <w:shd w:val="clear" w:color="auto" w:fill="auto"/>
            <w:noWrap/>
            <w:vAlign w:val="center"/>
            <w:hideMark/>
          </w:tcPr>
          <w:p w14:paraId="41FE05A3"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185 (80.4)</w:t>
            </w:r>
          </w:p>
        </w:tc>
        <w:tc>
          <w:tcPr>
            <w:tcW w:w="731" w:type="dxa"/>
            <w:shd w:val="clear" w:color="auto" w:fill="auto"/>
            <w:noWrap/>
            <w:vAlign w:val="center"/>
            <w:hideMark/>
          </w:tcPr>
          <w:p w14:paraId="492B12BC"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0.023</w:t>
            </w:r>
          </w:p>
        </w:tc>
        <w:tc>
          <w:tcPr>
            <w:tcW w:w="925" w:type="dxa"/>
            <w:shd w:val="clear" w:color="auto" w:fill="auto"/>
            <w:vAlign w:val="center"/>
            <w:hideMark/>
          </w:tcPr>
          <w:p w14:paraId="147A8BF1"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7.297</w:t>
            </w:r>
          </w:p>
        </w:tc>
        <w:tc>
          <w:tcPr>
            <w:tcW w:w="988" w:type="dxa"/>
            <w:shd w:val="clear" w:color="auto" w:fill="auto"/>
            <w:vAlign w:val="center"/>
            <w:hideMark/>
          </w:tcPr>
          <w:p w14:paraId="3C5767A1"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0.969</w:t>
            </w:r>
          </w:p>
        </w:tc>
        <w:tc>
          <w:tcPr>
            <w:tcW w:w="998" w:type="dxa"/>
            <w:gridSpan w:val="2"/>
            <w:shd w:val="clear" w:color="auto" w:fill="auto"/>
            <w:vAlign w:val="center"/>
            <w:hideMark/>
          </w:tcPr>
          <w:p w14:paraId="002F657B"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54.945</w:t>
            </w:r>
          </w:p>
        </w:tc>
      </w:tr>
      <w:tr w:rsidR="006C2554" w:rsidRPr="006C2554" w14:paraId="4547BECB" w14:textId="77777777" w:rsidTr="007E17ED">
        <w:trPr>
          <w:trHeight w:val="187"/>
        </w:trPr>
        <w:tc>
          <w:tcPr>
            <w:tcW w:w="3266" w:type="dxa"/>
            <w:shd w:val="clear" w:color="auto" w:fill="auto"/>
            <w:noWrap/>
            <w:vAlign w:val="center"/>
            <w:hideMark/>
          </w:tcPr>
          <w:p w14:paraId="1312F39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59188508"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 (6.5)</w:t>
            </w:r>
          </w:p>
        </w:tc>
        <w:tc>
          <w:tcPr>
            <w:tcW w:w="1039" w:type="dxa"/>
            <w:shd w:val="clear" w:color="auto" w:fill="auto"/>
            <w:noWrap/>
            <w:vAlign w:val="center"/>
            <w:hideMark/>
          </w:tcPr>
          <w:p w14:paraId="1CB46A30"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29 (93.5)</w:t>
            </w:r>
          </w:p>
        </w:tc>
        <w:tc>
          <w:tcPr>
            <w:tcW w:w="731" w:type="dxa"/>
            <w:shd w:val="clear" w:color="auto" w:fill="auto"/>
            <w:noWrap/>
            <w:vAlign w:val="center"/>
            <w:hideMark/>
          </w:tcPr>
          <w:p w14:paraId="505A649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36D1D4B1"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2AD949F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6CF857E2"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0E50654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 (3.2)</w:t>
            </w:r>
          </w:p>
        </w:tc>
        <w:tc>
          <w:tcPr>
            <w:tcW w:w="992" w:type="dxa"/>
            <w:shd w:val="clear" w:color="auto" w:fill="auto"/>
            <w:noWrap/>
            <w:vAlign w:val="center"/>
            <w:hideMark/>
          </w:tcPr>
          <w:p w14:paraId="3D4AF98A"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30 (96.8)</w:t>
            </w:r>
          </w:p>
        </w:tc>
        <w:tc>
          <w:tcPr>
            <w:tcW w:w="731" w:type="dxa"/>
            <w:shd w:val="clear" w:color="auto" w:fill="auto"/>
            <w:noWrap/>
            <w:vAlign w:val="center"/>
            <w:hideMark/>
          </w:tcPr>
          <w:p w14:paraId="0053F05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2F36E3F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67D519D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754DD09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16786459" w14:textId="77777777" w:rsidTr="007E17ED">
        <w:trPr>
          <w:trHeight w:val="187"/>
        </w:trPr>
        <w:tc>
          <w:tcPr>
            <w:tcW w:w="3266" w:type="dxa"/>
            <w:shd w:val="clear" w:color="auto" w:fill="auto"/>
            <w:noWrap/>
            <w:vAlign w:val="center"/>
            <w:hideMark/>
          </w:tcPr>
          <w:p w14:paraId="6C6F437E" w14:textId="77777777" w:rsidR="006C2554" w:rsidRPr="006C2554" w:rsidRDefault="006C2554" w:rsidP="007E17ED">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History of allergic reactions</w:t>
            </w:r>
          </w:p>
        </w:tc>
        <w:tc>
          <w:tcPr>
            <w:tcW w:w="996" w:type="dxa"/>
            <w:shd w:val="clear" w:color="auto" w:fill="auto"/>
            <w:noWrap/>
            <w:vAlign w:val="center"/>
            <w:hideMark/>
          </w:tcPr>
          <w:p w14:paraId="037D192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7139F79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57DCCF5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4D0C563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6D553D1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7A16BBB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552CDD4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3532FA9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7FC432F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24E526B2"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60A4E3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5467356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FA67843" w14:textId="77777777" w:rsidTr="007E17ED">
        <w:trPr>
          <w:trHeight w:val="187"/>
        </w:trPr>
        <w:tc>
          <w:tcPr>
            <w:tcW w:w="3266" w:type="dxa"/>
            <w:shd w:val="clear" w:color="auto" w:fill="auto"/>
            <w:noWrap/>
            <w:vAlign w:val="center"/>
            <w:hideMark/>
          </w:tcPr>
          <w:p w14:paraId="23AE591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729C880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62 (27.1)</w:t>
            </w:r>
          </w:p>
        </w:tc>
        <w:tc>
          <w:tcPr>
            <w:tcW w:w="1039" w:type="dxa"/>
            <w:shd w:val="clear" w:color="auto" w:fill="auto"/>
            <w:noWrap/>
            <w:vAlign w:val="center"/>
            <w:hideMark/>
          </w:tcPr>
          <w:p w14:paraId="7A1AF84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167 (72.9)</w:t>
            </w:r>
          </w:p>
        </w:tc>
        <w:tc>
          <w:tcPr>
            <w:tcW w:w="731" w:type="dxa"/>
            <w:shd w:val="clear" w:color="auto" w:fill="auto"/>
            <w:noWrap/>
            <w:vAlign w:val="center"/>
            <w:hideMark/>
          </w:tcPr>
          <w:p w14:paraId="77B40C04"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0.008</w:t>
            </w:r>
          </w:p>
        </w:tc>
        <w:tc>
          <w:tcPr>
            <w:tcW w:w="643" w:type="dxa"/>
            <w:shd w:val="clear" w:color="auto" w:fill="auto"/>
            <w:vAlign w:val="center"/>
            <w:hideMark/>
          </w:tcPr>
          <w:p w14:paraId="513DED43"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5.569</w:t>
            </w:r>
          </w:p>
        </w:tc>
        <w:tc>
          <w:tcPr>
            <w:tcW w:w="737" w:type="dxa"/>
            <w:shd w:val="clear" w:color="auto" w:fill="auto"/>
            <w:vAlign w:val="center"/>
            <w:hideMark/>
          </w:tcPr>
          <w:p w14:paraId="4FC40E43"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1.292</w:t>
            </w:r>
          </w:p>
        </w:tc>
        <w:tc>
          <w:tcPr>
            <w:tcW w:w="741" w:type="dxa"/>
            <w:shd w:val="clear" w:color="auto" w:fill="auto"/>
            <w:vAlign w:val="center"/>
            <w:hideMark/>
          </w:tcPr>
          <w:p w14:paraId="2F6401E6"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23.997</w:t>
            </w:r>
          </w:p>
        </w:tc>
        <w:tc>
          <w:tcPr>
            <w:tcW w:w="1137" w:type="dxa"/>
            <w:shd w:val="clear" w:color="auto" w:fill="auto"/>
            <w:noWrap/>
            <w:vAlign w:val="center"/>
            <w:hideMark/>
          </w:tcPr>
          <w:p w14:paraId="2AA99B10"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45 (19.7)</w:t>
            </w:r>
          </w:p>
        </w:tc>
        <w:tc>
          <w:tcPr>
            <w:tcW w:w="992" w:type="dxa"/>
            <w:shd w:val="clear" w:color="auto" w:fill="auto"/>
            <w:noWrap/>
            <w:vAlign w:val="center"/>
            <w:hideMark/>
          </w:tcPr>
          <w:p w14:paraId="47AE8BBB"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184 (80.3)</w:t>
            </w:r>
          </w:p>
        </w:tc>
        <w:tc>
          <w:tcPr>
            <w:tcW w:w="731" w:type="dxa"/>
            <w:shd w:val="clear" w:color="auto" w:fill="auto"/>
            <w:noWrap/>
            <w:vAlign w:val="center"/>
            <w:hideMark/>
          </w:tcPr>
          <w:p w14:paraId="0E335363"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0.023</w:t>
            </w:r>
          </w:p>
        </w:tc>
        <w:tc>
          <w:tcPr>
            <w:tcW w:w="925" w:type="dxa"/>
            <w:shd w:val="clear" w:color="auto" w:fill="auto"/>
            <w:vAlign w:val="center"/>
            <w:hideMark/>
          </w:tcPr>
          <w:p w14:paraId="6212B742"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7.582</w:t>
            </w:r>
          </w:p>
        </w:tc>
        <w:tc>
          <w:tcPr>
            <w:tcW w:w="988" w:type="dxa"/>
            <w:shd w:val="clear" w:color="auto" w:fill="auto"/>
            <w:vAlign w:val="center"/>
            <w:hideMark/>
          </w:tcPr>
          <w:p w14:paraId="030D44F5"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1.008</w:t>
            </w:r>
          </w:p>
        </w:tc>
        <w:tc>
          <w:tcPr>
            <w:tcW w:w="998" w:type="dxa"/>
            <w:gridSpan w:val="2"/>
            <w:shd w:val="clear" w:color="auto" w:fill="auto"/>
            <w:vAlign w:val="center"/>
            <w:hideMark/>
          </w:tcPr>
          <w:p w14:paraId="2F1B26A6"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57.028</w:t>
            </w:r>
          </w:p>
        </w:tc>
      </w:tr>
      <w:tr w:rsidR="006C2554" w:rsidRPr="006C2554" w14:paraId="0E705C34" w14:textId="77777777" w:rsidTr="007E17ED">
        <w:trPr>
          <w:trHeight w:val="187"/>
        </w:trPr>
        <w:tc>
          <w:tcPr>
            <w:tcW w:w="3266" w:type="dxa"/>
            <w:shd w:val="clear" w:color="auto" w:fill="auto"/>
            <w:noWrap/>
            <w:vAlign w:val="center"/>
            <w:hideMark/>
          </w:tcPr>
          <w:p w14:paraId="7060778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3FD68A6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 (6.3)</w:t>
            </w:r>
          </w:p>
        </w:tc>
        <w:tc>
          <w:tcPr>
            <w:tcW w:w="1039" w:type="dxa"/>
            <w:shd w:val="clear" w:color="auto" w:fill="auto"/>
            <w:noWrap/>
            <w:vAlign w:val="center"/>
            <w:hideMark/>
          </w:tcPr>
          <w:p w14:paraId="24885DC6"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30 (93.8)</w:t>
            </w:r>
          </w:p>
        </w:tc>
        <w:tc>
          <w:tcPr>
            <w:tcW w:w="731" w:type="dxa"/>
            <w:shd w:val="clear" w:color="auto" w:fill="auto"/>
            <w:noWrap/>
            <w:vAlign w:val="center"/>
            <w:hideMark/>
          </w:tcPr>
          <w:p w14:paraId="1E822BE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02DC0961"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4E607F6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6703FF2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1F60C4F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 (3.1)</w:t>
            </w:r>
          </w:p>
        </w:tc>
        <w:tc>
          <w:tcPr>
            <w:tcW w:w="992" w:type="dxa"/>
            <w:shd w:val="clear" w:color="auto" w:fill="auto"/>
            <w:noWrap/>
            <w:vAlign w:val="center"/>
            <w:hideMark/>
          </w:tcPr>
          <w:p w14:paraId="5E707E2F"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31 (96.9)</w:t>
            </w:r>
          </w:p>
        </w:tc>
        <w:tc>
          <w:tcPr>
            <w:tcW w:w="731" w:type="dxa"/>
            <w:shd w:val="clear" w:color="auto" w:fill="auto"/>
            <w:noWrap/>
            <w:vAlign w:val="center"/>
            <w:hideMark/>
          </w:tcPr>
          <w:p w14:paraId="1CA5BE1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1D7A839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0016649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761E961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A112DCA" w14:textId="77777777" w:rsidTr="007E17ED">
        <w:trPr>
          <w:trHeight w:val="187"/>
        </w:trPr>
        <w:tc>
          <w:tcPr>
            <w:tcW w:w="5301" w:type="dxa"/>
            <w:gridSpan w:val="3"/>
            <w:shd w:val="clear" w:color="auto" w:fill="auto"/>
            <w:noWrap/>
            <w:vAlign w:val="center"/>
            <w:hideMark/>
          </w:tcPr>
          <w:p w14:paraId="078DFD67" w14:textId="77777777" w:rsidR="006C2554" w:rsidRPr="006C2554" w:rsidRDefault="006C2554" w:rsidP="007E17ED">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Acute infection/hospitalization in the last 3 months</w:t>
            </w:r>
          </w:p>
        </w:tc>
        <w:tc>
          <w:tcPr>
            <w:tcW w:w="731" w:type="dxa"/>
            <w:shd w:val="clear" w:color="auto" w:fill="auto"/>
            <w:noWrap/>
            <w:vAlign w:val="center"/>
            <w:hideMark/>
          </w:tcPr>
          <w:p w14:paraId="6D3F08F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264806E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343DD304"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42D5070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017BC22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03D442D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0115D2F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3D4AC89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78FE43A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D75C4F1"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760A6BEE" w14:textId="77777777" w:rsidTr="007E17ED">
        <w:trPr>
          <w:trHeight w:val="187"/>
        </w:trPr>
        <w:tc>
          <w:tcPr>
            <w:tcW w:w="3266" w:type="dxa"/>
            <w:shd w:val="clear" w:color="auto" w:fill="auto"/>
            <w:noWrap/>
            <w:vAlign w:val="center"/>
            <w:hideMark/>
          </w:tcPr>
          <w:p w14:paraId="401668D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36C1AEE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62 (25)</w:t>
            </w:r>
          </w:p>
        </w:tc>
        <w:tc>
          <w:tcPr>
            <w:tcW w:w="1039" w:type="dxa"/>
            <w:shd w:val="clear" w:color="auto" w:fill="auto"/>
            <w:noWrap/>
            <w:vAlign w:val="center"/>
            <w:hideMark/>
          </w:tcPr>
          <w:p w14:paraId="3F5F3B0B"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186 (75)</w:t>
            </w:r>
          </w:p>
        </w:tc>
        <w:tc>
          <w:tcPr>
            <w:tcW w:w="731" w:type="dxa"/>
            <w:shd w:val="clear" w:color="auto" w:fill="auto"/>
            <w:noWrap/>
            <w:vAlign w:val="center"/>
            <w:hideMark/>
          </w:tcPr>
          <w:p w14:paraId="4368E325"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0.741</w:t>
            </w:r>
          </w:p>
        </w:tc>
        <w:tc>
          <w:tcPr>
            <w:tcW w:w="643" w:type="dxa"/>
            <w:shd w:val="clear" w:color="auto" w:fill="auto"/>
            <w:vAlign w:val="center"/>
            <w:hideMark/>
          </w:tcPr>
          <w:p w14:paraId="29DEED9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1.833</w:t>
            </w:r>
          </w:p>
        </w:tc>
        <w:tc>
          <w:tcPr>
            <w:tcW w:w="737" w:type="dxa"/>
            <w:shd w:val="clear" w:color="auto" w:fill="auto"/>
            <w:vAlign w:val="center"/>
            <w:hideMark/>
          </w:tcPr>
          <w:p w14:paraId="684D89F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0.395</w:t>
            </w:r>
          </w:p>
        </w:tc>
        <w:tc>
          <w:tcPr>
            <w:tcW w:w="741" w:type="dxa"/>
            <w:shd w:val="clear" w:color="auto" w:fill="auto"/>
            <w:vAlign w:val="center"/>
            <w:hideMark/>
          </w:tcPr>
          <w:p w14:paraId="01B2362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8.499</w:t>
            </w:r>
          </w:p>
        </w:tc>
        <w:tc>
          <w:tcPr>
            <w:tcW w:w="1137" w:type="dxa"/>
            <w:shd w:val="clear" w:color="auto" w:fill="auto"/>
            <w:noWrap/>
            <w:vAlign w:val="center"/>
            <w:hideMark/>
          </w:tcPr>
          <w:p w14:paraId="2CD427D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45 (18.1)</w:t>
            </w:r>
          </w:p>
        </w:tc>
        <w:tc>
          <w:tcPr>
            <w:tcW w:w="992" w:type="dxa"/>
            <w:shd w:val="clear" w:color="auto" w:fill="auto"/>
            <w:noWrap/>
            <w:vAlign w:val="center"/>
            <w:hideMark/>
          </w:tcPr>
          <w:p w14:paraId="620973B8"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203 (81.9)</w:t>
            </w:r>
          </w:p>
        </w:tc>
        <w:tc>
          <w:tcPr>
            <w:tcW w:w="731" w:type="dxa"/>
            <w:shd w:val="clear" w:color="auto" w:fill="auto"/>
            <w:noWrap/>
            <w:vAlign w:val="center"/>
            <w:hideMark/>
          </w:tcPr>
          <w:p w14:paraId="1FA93A0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0.476</w:t>
            </w:r>
          </w:p>
        </w:tc>
        <w:tc>
          <w:tcPr>
            <w:tcW w:w="925" w:type="dxa"/>
            <w:shd w:val="clear" w:color="auto" w:fill="auto"/>
            <w:vAlign w:val="center"/>
            <w:hideMark/>
          </w:tcPr>
          <w:p w14:paraId="3A24E741"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2.66</w:t>
            </w:r>
          </w:p>
        </w:tc>
        <w:tc>
          <w:tcPr>
            <w:tcW w:w="988" w:type="dxa"/>
            <w:shd w:val="clear" w:color="auto" w:fill="auto"/>
            <w:vAlign w:val="center"/>
            <w:hideMark/>
          </w:tcPr>
          <w:p w14:paraId="34C87CFC"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0.337</w:t>
            </w:r>
          </w:p>
        </w:tc>
        <w:tc>
          <w:tcPr>
            <w:tcW w:w="998" w:type="dxa"/>
            <w:gridSpan w:val="2"/>
            <w:shd w:val="clear" w:color="auto" w:fill="auto"/>
            <w:vAlign w:val="center"/>
            <w:hideMark/>
          </w:tcPr>
          <w:p w14:paraId="0A6F9742"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20.984</w:t>
            </w:r>
          </w:p>
        </w:tc>
      </w:tr>
      <w:tr w:rsidR="006C2554" w:rsidRPr="006C2554" w14:paraId="68743692" w14:textId="77777777" w:rsidTr="007E17ED">
        <w:trPr>
          <w:trHeight w:val="187"/>
        </w:trPr>
        <w:tc>
          <w:tcPr>
            <w:tcW w:w="3266" w:type="dxa"/>
            <w:shd w:val="clear" w:color="auto" w:fill="auto"/>
            <w:noWrap/>
            <w:vAlign w:val="center"/>
            <w:hideMark/>
          </w:tcPr>
          <w:p w14:paraId="08DB8911"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6926118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 (15.4)</w:t>
            </w:r>
          </w:p>
        </w:tc>
        <w:tc>
          <w:tcPr>
            <w:tcW w:w="1039" w:type="dxa"/>
            <w:shd w:val="clear" w:color="auto" w:fill="auto"/>
            <w:noWrap/>
            <w:vAlign w:val="center"/>
            <w:hideMark/>
          </w:tcPr>
          <w:p w14:paraId="747BB618"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 (84.6)</w:t>
            </w:r>
          </w:p>
        </w:tc>
        <w:tc>
          <w:tcPr>
            <w:tcW w:w="731" w:type="dxa"/>
            <w:shd w:val="clear" w:color="auto" w:fill="auto"/>
            <w:noWrap/>
            <w:vAlign w:val="center"/>
            <w:hideMark/>
          </w:tcPr>
          <w:p w14:paraId="4905A43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7878ADC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48B0DF6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4476456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0851975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 (7.7)</w:t>
            </w:r>
          </w:p>
        </w:tc>
        <w:tc>
          <w:tcPr>
            <w:tcW w:w="992" w:type="dxa"/>
            <w:shd w:val="clear" w:color="auto" w:fill="auto"/>
            <w:noWrap/>
            <w:vAlign w:val="center"/>
            <w:hideMark/>
          </w:tcPr>
          <w:p w14:paraId="3D271E40"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 (92.3)</w:t>
            </w:r>
          </w:p>
        </w:tc>
        <w:tc>
          <w:tcPr>
            <w:tcW w:w="731" w:type="dxa"/>
            <w:shd w:val="clear" w:color="auto" w:fill="auto"/>
            <w:noWrap/>
            <w:vAlign w:val="center"/>
            <w:hideMark/>
          </w:tcPr>
          <w:p w14:paraId="20C0419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0AA0E42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595D325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675FFCD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42D2DACD" w14:textId="77777777" w:rsidTr="007E17ED">
        <w:trPr>
          <w:trHeight w:val="89"/>
        </w:trPr>
        <w:tc>
          <w:tcPr>
            <w:tcW w:w="4262" w:type="dxa"/>
            <w:gridSpan w:val="2"/>
            <w:shd w:val="clear" w:color="auto" w:fill="auto"/>
            <w:noWrap/>
            <w:vAlign w:val="center"/>
            <w:hideMark/>
          </w:tcPr>
          <w:p w14:paraId="4D5E7726" w14:textId="77777777" w:rsidR="006C2554" w:rsidRPr="006C2554" w:rsidRDefault="006C2554" w:rsidP="007E17ED">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 xml:space="preserve">History of medication in the last 6 months </w:t>
            </w:r>
          </w:p>
        </w:tc>
        <w:tc>
          <w:tcPr>
            <w:tcW w:w="1039" w:type="dxa"/>
            <w:shd w:val="clear" w:color="auto" w:fill="auto"/>
            <w:noWrap/>
            <w:vAlign w:val="center"/>
            <w:hideMark/>
          </w:tcPr>
          <w:p w14:paraId="3C0DCD2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78848E5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105651E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5A914676"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2490F8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17E4C49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3E57CBC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4932284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243F029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2053C89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943A30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0B1C4EB8" w14:textId="77777777" w:rsidTr="007E17ED">
        <w:trPr>
          <w:trHeight w:val="187"/>
        </w:trPr>
        <w:tc>
          <w:tcPr>
            <w:tcW w:w="3266" w:type="dxa"/>
            <w:shd w:val="clear" w:color="auto" w:fill="auto"/>
            <w:noWrap/>
            <w:vAlign w:val="center"/>
            <w:hideMark/>
          </w:tcPr>
          <w:p w14:paraId="2E20C35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39F2A46B"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58 (28)</w:t>
            </w:r>
          </w:p>
        </w:tc>
        <w:tc>
          <w:tcPr>
            <w:tcW w:w="1039" w:type="dxa"/>
            <w:shd w:val="clear" w:color="auto" w:fill="auto"/>
            <w:noWrap/>
            <w:vAlign w:val="center"/>
            <w:hideMark/>
          </w:tcPr>
          <w:p w14:paraId="2C9A5F1C"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149 (72)</w:t>
            </w:r>
          </w:p>
        </w:tc>
        <w:tc>
          <w:tcPr>
            <w:tcW w:w="731" w:type="dxa"/>
            <w:shd w:val="clear" w:color="auto" w:fill="auto"/>
            <w:noWrap/>
            <w:vAlign w:val="center"/>
            <w:hideMark/>
          </w:tcPr>
          <w:p w14:paraId="393F7E87"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0.012</w:t>
            </w:r>
          </w:p>
        </w:tc>
        <w:tc>
          <w:tcPr>
            <w:tcW w:w="643" w:type="dxa"/>
            <w:shd w:val="clear" w:color="auto" w:fill="auto"/>
            <w:vAlign w:val="center"/>
            <w:hideMark/>
          </w:tcPr>
          <w:p w14:paraId="53E5D436"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3.114</w:t>
            </w:r>
          </w:p>
        </w:tc>
        <w:tc>
          <w:tcPr>
            <w:tcW w:w="737" w:type="dxa"/>
            <w:shd w:val="clear" w:color="auto" w:fill="auto"/>
            <w:vAlign w:val="center"/>
            <w:hideMark/>
          </w:tcPr>
          <w:p w14:paraId="330B0D4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1.264</w:t>
            </w:r>
          </w:p>
        </w:tc>
        <w:tc>
          <w:tcPr>
            <w:tcW w:w="741" w:type="dxa"/>
            <w:shd w:val="clear" w:color="auto" w:fill="auto"/>
            <w:vAlign w:val="center"/>
            <w:hideMark/>
          </w:tcPr>
          <w:p w14:paraId="4A09720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7.669</w:t>
            </w:r>
          </w:p>
        </w:tc>
        <w:tc>
          <w:tcPr>
            <w:tcW w:w="1137" w:type="dxa"/>
            <w:shd w:val="clear" w:color="auto" w:fill="auto"/>
            <w:noWrap/>
            <w:vAlign w:val="center"/>
            <w:hideMark/>
          </w:tcPr>
          <w:p w14:paraId="67692FF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43 (20.8)</w:t>
            </w:r>
          </w:p>
        </w:tc>
        <w:tc>
          <w:tcPr>
            <w:tcW w:w="992" w:type="dxa"/>
            <w:shd w:val="clear" w:color="auto" w:fill="auto"/>
            <w:noWrap/>
            <w:vAlign w:val="center"/>
            <w:hideMark/>
          </w:tcPr>
          <w:p w14:paraId="49620F5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164 (79.2)</w:t>
            </w:r>
          </w:p>
        </w:tc>
        <w:tc>
          <w:tcPr>
            <w:tcW w:w="731" w:type="dxa"/>
            <w:shd w:val="clear" w:color="auto" w:fill="auto"/>
            <w:noWrap/>
            <w:vAlign w:val="center"/>
            <w:hideMark/>
          </w:tcPr>
          <w:p w14:paraId="51F44D8F"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0.008</w:t>
            </w:r>
          </w:p>
        </w:tc>
        <w:tc>
          <w:tcPr>
            <w:tcW w:w="925" w:type="dxa"/>
            <w:shd w:val="clear" w:color="auto" w:fill="auto"/>
            <w:vAlign w:val="center"/>
            <w:hideMark/>
          </w:tcPr>
          <w:p w14:paraId="24503A92"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4.457</w:t>
            </w:r>
          </w:p>
        </w:tc>
        <w:tc>
          <w:tcPr>
            <w:tcW w:w="988" w:type="dxa"/>
            <w:shd w:val="clear" w:color="auto" w:fill="auto"/>
            <w:vAlign w:val="center"/>
            <w:hideMark/>
          </w:tcPr>
          <w:p w14:paraId="34E3C1CA"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1.327</w:t>
            </w:r>
          </w:p>
        </w:tc>
        <w:tc>
          <w:tcPr>
            <w:tcW w:w="998" w:type="dxa"/>
            <w:gridSpan w:val="2"/>
            <w:shd w:val="clear" w:color="auto" w:fill="auto"/>
            <w:vAlign w:val="center"/>
            <w:hideMark/>
          </w:tcPr>
          <w:p w14:paraId="208E388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14.975</w:t>
            </w:r>
          </w:p>
        </w:tc>
      </w:tr>
      <w:tr w:rsidR="006C2554" w:rsidRPr="006C2554" w14:paraId="25352825" w14:textId="77777777" w:rsidTr="007E17ED">
        <w:trPr>
          <w:trHeight w:val="187"/>
        </w:trPr>
        <w:tc>
          <w:tcPr>
            <w:tcW w:w="3266" w:type="dxa"/>
            <w:shd w:val="clear" w:color="auto" w:fill="auto"/>
            <w:noWrap/>
            <w:vAlign w:val="center"/>
            <w:hideMark/>
          </w:tcPr>
          <w:p w14:paraId="5804A5F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456096C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 (11.1)</w:t>
            </w:r>
          </w:p>
        </w:tc>
        <w:tc>
          <w:tcPr>
            <w:tcW w:w="1039" w:type="dxa"/>
            <w:shd w:val="clear" w:color="auto" w:fill="auto"/>
            <w:noWrap/>
            <w:vAlign w:val="center"/>
            <w:hideMark/>
          </w:tcPr>
          <w:p w14:paraId="25852F2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48 (88.9)</w:t>
            </w:r>
          </w:p>
        </w:tc>
        <w:tc>
          <w:tcPr>
            <w:tcW w:w="731" w:type="dxa"/>
            <w:shd w:val="clear" w:color="auto" w:fill="auto"/>
            <w:noWrap/>
            <w:vAlign w:val="center"/>
            <w:hideMark/>
          </w:tcPr>
          <w:p w14:paraId="016EC35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1149723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49B09BDA"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757CBAF"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1E2DAD53"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 (5.6)</w:t>
            </w:r>
          </w:p>
        </w:tc>
        <w:tc>
          <w:tcPr>
            <w:tcW w:w="992" w:type="dxa"/>
            <w:shd w:val="clear" w:color="auto" w:fill="auto"/>
            <w:noWrap/>
            <w:vAlign w:val="center"/>
            <w:hideMark/>
          </w:tcPr>
          <w:p w14:paraId="595F1E32"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51 (94.4)</w:t>
            </w:r>
          </w:p>
        </w:tc>
        <w:tc>
          <w:tcPr>
            <w:tcW w:w="731" w:type="dxa"/>
            <w:shd w:val="clear" w:color="auto" w:fill="auto"/>
            <w:noWrap/>
            <w:vAlign w:val="center"/>
            <w:hideMark/>
          </w:tcPr>
          <w:p w14:paraId="3116443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3E44134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54A54D95"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649E3A7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34BF9F80" w14:textId="77777777" w:rsidTr="007E17ED">
        <w:trPr>
          <w:trHeight w:val="187"/>
        </w:trPr>
        <w:tc>
          <w:tcPr>
            <w:tcW w:w="3266" w:type="dxa"/>
            <w:shd w:val="clear" w:color="auto" w:fill="auto"/>
            <w:noWrap/>
            <w:vAlign w:val="center"/>
            <w:hideMark/>
          </w:tcPr>
          <w:p w14:paraId="0351C92B" w14:textId="77777777" w:rsidR="006C2554" w:rsidRPr="006C2554" w:rsidRDefault="006C2554" w:rsidP="007E17ED">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History of Covid-19</w:t>
            </w:r>
          </w:p>
        </w:tc>
        <w:tc>
          <w:tcPr>
            <w:tcW w:w="996" w:type="dxa"/>
            <w:shd w:val="clear" w:color="auto" w:fill="auto"/>
            <w:noWrap/>
            <w:vAlign w:val="center"/>
            <w:hideMark/>
          </w:tcPr>
          <w:p w14:paraId="739F332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39" w:type="dxa"/>
            <w:shd w:val="clear" w:color="auto" w:fill="auto"/>
            <w:noWrap/>
            <w:vAlign w:val="center"/>
            <w:hideMark/>
          </w:tcPr>
          <w:p w14:paraId="3D7AA31C"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24D0334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624BF6EB"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174C8431"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6D78181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33408DA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2" w:type="dxa"/>
            <w:shd w:val="clear" w:color="auto" w:fill="auto"/>
            <w:noWrap/>
            <w:vAlign w:val="center"/>
            <w:hideMark/>
          </w:tcPr>
          <w:p w14:paraId="4E875081"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1" w:type="dxa"/>
            <w:shd w:val="clear" w:color="auto" w:fill="auto"/>
            <w:noWrap/>
            <w:vAlign w:val="center"/>
            <w:hideMark/>
          </w:tcPr>
          <w:p w14:paraId="382842F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7B9E29B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7DB23FF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3A4CF0D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15D3E0F2" w14:textId="77777777" w:rsidTr="007E17ED">
        <w:trPr>
          <w:trHeight w:val="187"/>
        </w:trPr>
        <w:tc>
          <w:tcPr>
            <w:tcW w:w="3266" w:type="dxa"/>
            <w:shd w:val="clear" w:color="auto" w:fill="auto"/>
            <w:noWrap/>
            <w:vAlign w:val="center"/>
            <w:hideMark/>
          </w:tcPr>
          <w:p w14:paraId="3656CAF7"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996" w:type="dxa"/>
            <w:shd w:val="clear" w:color="auto" w:fill="auto"/>
            <w:noWrap/>
            <w:vAlign w:val="center"/>
            <w:hideMark/>
          </w:tcPr>
          <w:p w14:paraId="3AB53AE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54 (30)</w:t>
            </w:r>
          </w:p>
        </w:tc>
        <w:tc>
          <w:tcPr>
            <w:tcW w:w="1039" w:type="dxa"/>
            <w:shd w:val="clear" w:color="auto" w:fill="auto"/>
            <w:noWrap/>
            <w:vAlign w:val="center"/>
            <w:hideMark/>
          </w:tcPr>
          <w:p w14:paraId="55A25DBA"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126 (70)</w:t>
            </w:r>
          </w:p>
        </w:tc>
        <w:tc>
          <w:tcPr>
            <w:tcW w:w="731" w:type="dxa"/>
            <w:shd w:val="clear" w:color="auto" w:fill="auto"/>
            <w:noWrap/>
            <w:vAlign w:val="center"/>
            <w:hideMark/>
          </w:tcPr>
          <w:p w14:paraId="50F29B49"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0.002</w:t>
            </w:r>
          </w:p>
        </w:tc>
        <w:tc>
          <w:tcPr>
            <w:tcW w:w="643" w:type="dxa"/>
            <w:shd w:val="clear" w:color="auto" w:fill="auto"/>
            <w:vAlign w:val="center"/>
            <w:hideMark/>
          </w:tcPr>
          <w:p w14:paraId="063C1CE2"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3.043</w:t>
            </w:r>
          </w:p>
        </w:tc>
        <w:tc>
          <w:tcPr>
            <w:tcW w:w="737" w:type="dxa"/>
            <w:shd w:val="clear" w:color="auto" w:fill="auto"/>
            <w:vAlign w:val="center"/>
            <w:hideMark/>
          </w:tcPr>
          <w:p w14:paraId="4B2CCA04"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1.459</w:t>
            </w:r>
          </w:p>
        </w:tc>
        <w:tc>
          <w:tcPr>
            <w:tcW w:w="741" w:type="dxa"/>
            <w:shd w:val="clear" w:color="auto" w:fill="auto"/>
            <w:vAlign w:val="center"/>
            <w:hideMark/>
          </w:tcPr>
          <w:p w14:paraId="104ED2F9"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6.344</w:t>
            </w:r>
          </w:p>
        </w:tc>
        <w:tc>
          <w:tcPr>
            <w:tcW w:w="1137" w:type="dxa"/>
            <w:shd w:val="clear" w:color="auto" w:fill="auto"/>
            <w:noWrap/>
            <w:vAlign w:val="center"/>
            <w:hideMark/>
          </w:tcPr>
          <w:p w14:paraId="3B0053E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38 (21.1)</w:t>
            </w:r>
          </w:p>
        </w:tc>
        <w:tc>
          <w:tcPr>
            <w:tcW w:w="992" w:type="dxa"/>
            <w:shd w:val="clear" w:color="auto" w:fill="auto"/>
            <w:noWrap/>
            <w:vAlign w:val="center"/>
            <w:hideMark/>
          </w:tcPr>
          <w:p w14:paraId="16A0912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142 (78.9)</w:t>
            </w:r>
          </w:p>
        </w:tc>
        <w:tc>
          <w:tcPr>
            <w:tcW w:w="731" w:type="dxa"/>
            <w:shd w:val="clear" w:color="auto" w:fill="auto"/>
            <w:noWrap/>
            <w:vAlign w:val="center"/>
            <w:hideMark/>
          </w:tcPr>
          <w:p w14:paraId="28ED47C8" w14:textId="77777777" w:rsidR="006C2554" w:rsidRPr="006C2554" w:rsidRDefault="006C2554" w:rsidP="007E17ED">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0.034</w:t>
            </w:r>
          </w:p>
        </w:tc>
        <w:tc>
          <w:tcPr>
            <w:tcW w:w="925" w:type="dxa"/>
            <w:shd w:val="clear" w:color="auto" w:fill="auto"/>
            <w:vAlign w:val="center"/>
            <w:hideMark/>
          </w:tcPr>
          <w:p w14:paraId="31E7897E"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2.442</w:t>
            </w:r>
          </w:p>
        </w:tc>
        <w:tc>
          <w:tcPr>
            <w:tcW w:w="988" w:type="dxa"/>
            <w:shd w:val="clear" w:color="auto" w:fill="auto"/>
            <w:vAlign w:val="center"/>
            <w:hideMark/>
          </w:tcPr>
          <w:p w14:paraId="1A92655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1.083</w:t>
            </w:r>
          </w:p>
        </w:tc>
        <w:tc>
          <w:tcPr>
            <w:tcW w:w="998" w:type="dxa"/>
            <w:gridSpan w:val="2"/>
            <w:shd w:val="clear" w:color="auto" w:fill="auto"/>
            <w:vAlign w:val="center"/>
            <w:hideMark/>
          </w:tcPr>
          <w:p w14:paraId="7D4687C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5.506</w:t>
            </w:r>
          </w:p>
        </w:tc>
      </w:tr>
      <w:tr w:rsidR="006C2554" w:rsidRPr="006C2554" w14:paraId="11D187A0" w14:textId="77777777" w:rsidTr="007E17ED">
        <w:trPr>
          <w:trHeight w:val="187"/>
        </w:trPr>
        <w:tc>
          <w:tcPr>
            <w:tcW w:w="3266" w:type="dxa"/>
            <w:shd w:val="clear" w:color="auto" w:fill="auto"/>
            <w:noWrap/>
            <w:vAlign w:val="center"/>
            <w:hideMark/>
          </w:tcPr>
          <w:p w14:paraId="7C695CE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996" w:type="dxa"/>
            <w:shd w:val="clear" w:color="auto" w:fill="auto"/>
            <w:noWrap/>
            <w:vAlign w:val="center"/>
            <w:hideMark/>
          </w:tcPr>
          <w:p w14:paraId="711F1F6D"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 (12.3)</w:t>
            </w:r>
          </w:p>
        </w:tc>
        <w:tc>
          <w:tcPr>
            <w:tcW w:w="1039" w:type="dxa"/>
            <w:shd w:val="clear" w:color="auto" w:fill="auto"/>
            <w:noWrap/>
            <w:vAlign w:val="center"/>
            <w:hideMark/>
          </w:tcPr>
          <w:p w14:paraId="52059A4C"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71 (87.7)</w:t>
            </w:r>
          </w:p>
        </w:tc>
        <w:tc>
          <w:tcPr>
            <w:tcW w:w="731" w:type="dxa"/>
            <w:shd w:val="clear" w:color="auto" w:fill="auto"/>
            <w:noWrap/>
            <w:vAlign w:val="center"/>
            <w:hideMark/>
          </w:tcPr>
          <w:p w14:paraId="3BFD3FA2"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43" w:type="dxa"/>
            <w:shd w:val="clear" w:color="auto" w:fill="auto"/>
            <w:noWrap/>
            <w:vAlign w:val="center"/>
            <w:hideMark/>
          </w:tcPr>
          <w:p w14:paraId="7D7F0483"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37" w:type="dxa"/>
            <w:shd w:val="clear" w:color="auto" w:fill="auto"/>
            <w:noWrap/>
            <w:vAlign w:val="center"/>
            <w:hideMark/>
          </w:tcPr>
          <w:p w14:paraId="0CDD0D8E"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1" w:type="dxa"/>
            <w:shd w:val="clear" w:color="auto" w:fill="auto"/>
            <w:noWrap/>
            <w:vAlign w:val="center"/>
            <w:hideMark/>
          </w:tcPr>
          <w:p w14:paraId="175DACB9"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37" w:type="dxa"/>
            <w:shd w:val="clear" w:color="auto" w:fill="auto"/>
            <w:noWrap/>
            <w:vAlign w:val="center"/>
            <w:hideMark/>
          </w:tcPr>
          <w:p w14:paraId="7FB7E828"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 (9.9)</w:t>
            </w:r>
          </w:p>
        </w:tc>
        <w:tc>
          <w:tcPr>
            <w:tcW w:w="992" w:type="dxa"/>
            <w:shd w:val="clear" w:color="auto" w:fill="auto"/>
            <w:noWrap/>
            <w:vAlign w:val="center"/>
            <w:hideMark/>
          </w:tcPr>
          <w:p w14:paraId="4D523427" w14:textId="77777777" w:rsidR="006C2554" w:rsidRPr="006C2554" w:rsidRDefault="006C2554" w:rsidP="007E17ED">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73 (90.1)</w:t>
            </w:r>
          </w:p>
        </w:tc>
        <w:tc>
          <w:tcPr>
            <w:tcW w:w="731" w:type="dxa"/>
            <w:shd w:val="clear" w:color="auto" w:fill="auto"/>
            <w:noWrap/>
            <w:vAlign w:val="center"/>
            <w:hideMark/>
          </w:tcPr>
          <w:p w14:paraId="65A78C1D"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25" w:type="dxa"/>
            <w:shd w:val="clear" w:color="auto" w:fill="auto"/>
            <w:noWrap/>
            <w:vAlign w:val="center"/>
            <w:hideMark/>
          </w:tcPr>
          <w:p w14:paraId="67B72D78"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88" w:type="dxa"/>
            <w:shd w:val="clear" w:color="auto" w:fill="auto"/>
            <w:noWrap/>
            <w:vAlign w:val="center"/>
            <w:hideMark/>
          </w:tcPr>
          <w:p w14:paraId="795834E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98" w:type="dxa"/>
            <w:gridSpan w:val="2"/>
            <w:shd w:val="clear" w:color="auto" w:fill="auto"/>
            <w:noWrap/>
            <w:vAlign w:val="center"/>
            <w:hideMark/>
          </w:tcPr>
          <w:p w14:paraId="47F15EE0" w14:textId="77777777" w:rsidR="006C2554" w:rsidRPr="006C2554" w:rsidRDefault="006C2554" w:rsidP="007E17ED">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bl>
    <w:p w14:paraId="75452A25" w14:textId="77777777" w:rsidR="006C2554" w:rsidRPr="006C2554" w:rsidRDefault="006C2554" w:rsidP="006C2554">
      <w:pPr>
        <w:pStyle w:val="NormalWeb"/>
        <w:rPr>
          <w:rFonts w:ascii="Arial" w:hAnsi="Arial" w:cs="Arial"/>
          <w:sz w:val="16"/>
          <w:szCs w:val="16"/>
        </w:rPr>
      </w:pPr>
      <w:proofErr w:type="spellStart"/>
      <w:r w:rsidRPr="006C2554">
        <w:rPr>
          <w:rFonts w:ascii="Arial" w:hAnsi="Arial" w:cs="Arial"/>
          <w:b/>
          <w:bCs/>
          <w:sz w:val="16"/>
          <w:szCs w:val="16"/>
        </w:rPr>
        <w:t>Tabel</w:t>
      </w:r>
      <w:proofErr w:type="spellEnd"/>
      <w:r w:rsidRPr="006C2554">
        <w:rPr>
          <w:rFonts w:ascii="Arial" w:hAnsi="Arial" w:cs="Arial"/>
          <w:b/>
          <w:bCs/>
          <w:sz w:val="16"/>
          <w:szCs w:val="16"/>
        </w:rPr>
        <w:t xml:space="preserve"> 4.</w:t>
      </w:r>
      <w:r w:rsidRPr="006C2554">
        <w:rPr>
          <w:rFonts w:ascii="Arial" w:hAnsi="Arial" w:cs="Arial"/>
          <w:sz w:val="16"/>
          <w:szCs w:val="16"/>
        </w:rPr>
        <w:t xml:space="preserve"> Risk factors affecting AEFI in the initial 15 minutes and 15 minutes – 24 hours </w:t>
      </w:r>
    </w:p>
    <w:p w14:paraId="4DB86ECF" w14:textId="77777777" w:rsidR="006C2554" w:rsidRDefault="006C2554" w:rsidP="00904932">
      <w:pPr>
        <w:snapToGrid w:val="0"/>
        <w:spacing w:after="240"/>
        <w:jc w:val="both"/>
        <w:rPr>
          <w:rFonts w:ascii="Arial" w:hAnsi="Arial" w:cs="Arial"/>
          <w:sz w:val="20"/>
          <w:szCs w:val="20"/>
        </w:rPr>
      </w:pPr>
    </w:p>
    <w:p w14:paraId="05E03866" w14:textId="05E05476" w:rsidR="005D1333" w:rsidRDefault="005D1333" w:rsidP="00904932">
      <w:pPr>
        <w:snapToGrid w:val="0"/>
        <w:spacing w:after="240"/>
        <w:jc w:val="both"/>
        <w:rPr>
          <w:rFonts w:ascii="Arial" w:hAnsi="Arial" w:cs="Arial"/>
          <w:sz w:val="20"/>
          <w:szCs w:val="20"/>
        </w:rPr>
      </w:pPr>
    </w:p>
    <w:p w14:paraId="0A14D736" w14:textId="5C90E9C3" w:rsidR="005D1333" w:rsidRDefault="005D1333" w:rsidP="00904932">
      <w:pPr>
        <w:snapToGrid w:val="0"/>
        <w:spacing w:after="240"/>
        <w:jc w:val="both"/>
        <w:rPr>
          <w:rFonts w:ascii="Arial" w:hAnsi="Arial" w:cs="Arial"/>
          <w:sz w:val="20"/>
          <w:szCs w:val="20"/>
        </w:rPr>
      </w:pPr>
    </w:p>
    <w:p w14:paraId="3E64D20E" w14:textId="3CDB325C" w:rsidR="005D1333" w:rsidRDefault="005D1333" w:rsidP="00904932">
      <w:pPr>
        <w:snapToGrid w:val="0"/>
        <w:spacing w:after="240"/>
        <w:jc w:val="both"/>
        <w:rPr>
          <w:rFonts w:ascii="Arial" w:hAnsi="Arial" w:cs="Arial"/>
          <w:sz w:val="20"/>
          <w:szCs w:val="20"/>
        </w:rPr>
      </w:pPr>
    </w:p>
    <w:p w14:paraId="4027D401" w14:textId="52FD095F" w:rsidR="005D1333" w:rsidRDefault="005D1333" w:rsidP="00904932">
      <w:pPr>
        <w:snapToGrid w:val="0"/>
        <w:spacing w:after="240"/>
        <w:jc w:val="both"/>
        <w:rPr>
          <w:rFonts w:ascii="Arial" w:hAnsi="Arial" w:cs="Arial"/>
          <w:sz w:val="20"/>
          <w:szCs w:val="20"/>
        </w:rPr>
      </w:pPr>
    </w:p>
    <w:p w14:paraId="505D67A3" w14:textId="2A5DC829" w:rsidR="005D1333" w:rsidRDefault="005D1333" w:rsidP="00904932">
      <w:pPr>
        <w:snapToGrid w:val="0"/>
        <w:spacing w:after="240"/>
        <w:jc w:val="both"/>
        <w:rPr>
          <w:rFonts w:ascii="Arial" w:hAnsi="Arial" w:cs="Arial"/>
          <w:sz w:val="20"/>
          <w:szCs w:val="20"/>
        </w:rPr>
      </w:pPr>
    </w:p>
    <w:p w14:paraId="6AD48E9B" w14:textId="776FB59C" w:rsidR="005D1333" w:rsidRDefault="005D1333" w:rsidP="00904932">
      <w:pPr>
        <w:snapToGrid w:val="0"/>
        <w:spacing w:after="240"/>
        <w:jc w:val="both"/>
        <w:rPr>
          <w:rFonts w:ascii="Arial" w:hAnsi="Arial" w:cs="Arial"/>
          <w:sz w:val="20"/>
          <w:szCs w:val="20"/>
        </w:rPr>
      </w:pPr>
    </w:p>
    <w:p w14:paraId="0172C9D1" w14:textId="77777777" w:rsidR="005D1333" w:rsidRDefault="005D1333" w:rsidP="00904932">
      <w:pPr>
        <w:snapToGrid w:val="0"/>
        <w:spacing w:after="240"/>
        <w:jc w:val="both"/>
        <w:rPr>
          <w:rFonts w:ascii="Arial" w:hAnsi="Arial" w:cs="Arial"/>
          <w:sz w:val="20"/>
          <w:szCs w:val="20"/>
        </w:rPr>
      </w:pPr>
    </w:p>
    <w:p w14:paraId="5A4EAF3F" w14:textId="77777777" w:rsidR="006C2554" w:rsidRPr="006C2554" w:rsidRDefault="006C2554" w:rsidP="006C2554">
      <w:pPr>
        <w:rPr>
          <w:rFonts w:ascii="Arial" w:hAnsi="Arial" w:cs="Arial"/>
          <w:sz w:val="20"/>
          <w:szCs w:val="20"/>
        </w:rPr>
      </w:pPr>
    </w:p>
    <w:p w14:paraId="536FB0BD" w14:textId="77777777" w:rsidR="006C2554" w:rsidRPr="006C2554" w:rsidRDefault="006C2554" w:rsidP="006C2554">
      <w:pPr>
        <w:rPr>
          <w:rFonts w:ascii="Arial" w:hAnsi="Arial" w:cs="Arial"/>
          <w:sz w:val="20"/>
          <w:szCs w:val="20"/>
        </w:rPr>
      </w:pPr>
    </w:p>
    <w:p w14:paraId="5C74F539" w14:textId="77777777" w:rsidR="006C2554" w:rsidRPr="006C2554" w:rsidRDefault="006C2554" w:rsidP="006C2554">
      <w:pPr>
        <w:rPr>
          <w:rFonts w:ascii="Arial" w:hAnsi="Arial" w:cs="Arial"/>
          <w:sz w:val="20"/>
          <w:szCs w:val="20"/>
        </w:rPr>
      </w:pPr>
    </w:p>
    <w:p w14:paraId="5D5FDBE8" w14:textId="77777777" w:rsidR="006C2554" w:rsidRPr="006C2554" w:rsidRDefault="006C2554" w:rsidP="006C2554">
      <w:pPr>
        <w:rPr>
          <w:rFonts w:ascii="Arial" w:hAnsi="Arial" w:cs="Arial"/>
          <w:sz w:val="20"/>
          <w:szCs w:val="20"/>
        </w:rPr>
      </w:pPr>
    </w:p>
    <w:p w14:paraId="071A0C0F" w14:textId="77777777" w:rsidR="006C2554" w:rsidRPr="006C2554" w:rsidRDefault="006C2554" w:rsidP="006C2554">
      <w:pPr>
        <w:rPr>
          <w:rFonts w:ascii="Arial" w:hAnsi="Arial" w:cs="Arial"/>
          <w:sz w:val="20"/>
          <w:szCs w:val="20"/>
        </w:rPr>
      </w:pPr>
    </w:p>
    <w:p w14:paraId="6880BB49" w14:textId="77777777" w:rsidR="006C2554" w:rsidRPr="006C2554" w:rsidRDefault="006C2554" w:rsidP="006C2554">
      <w:pPr>
        <w:rPr>
          <w:rFonts w:ascii="Arial" w:hAnsi="Arial" w:cs="Arial"/>
          <w:sz w:val="20"/>
          <w:szCs w:val="20"/>
        </w:rPr>
      </w:pPr>
    </w:p>
    <w:p w14:paraId="1BEA55E6" w14:textId="77777777" w:rsidR="006C2554" w:rsidRPr="006C2554" w:rsidRDefault="006C2554" w:rsidP="006C2554">
      <w:pPr>
        <w:rPr>
          <w:rFonts w:ascii="Arial" w:hAnsi="Arial" w:cs="Arial"/>
          <w:sz w:val="20"/>
          <w:szCs w:val="20"/>
        </w:rPr>
      </w:pPr>
    </w:p>
    <w:p w14:paraId="560AB5A4" w14:textId="77777777" w:rsidR="006C2554" w:rsidRPr="006C2554" w:rsidRDefault="006C2554" w:rsidP="006C2554">
      <w:pPr>
        <w:rPr>
          <w:rFonts w:ascii="Arial" w:hAnsi="Arial" w:cs="Arial"/>
          <w:sz w:val="20"/>
          <w:szCs w:val="20"/>
        </w:rPr>
      </w:pPr>
    </w:p>
    <w:p w14:paraId="08C9BB14" w14:textId="77777777" w:rsidR="006C2554" w:rsidRPr="006C2554" w:rsidRDefault="006C2554" w:rsidP="006C2554">
      <w:pPr>
        <w:rPr>
          <w:rFonts w:ascii="Arial" w:hAnsi="Arial" w:cs="Arial"/>
          <w:sz w:val="20"/>
          <w:szCs w:val="20"/>
        </w:rPr>
      </w:pPr>
    </w:p>
    <w:p w14:paraId="1FA1BD5A" w14:textId="77777777" w:rsidR="006C2554" w:rsidRPr="006C2554" w:rsidRDefault="006C2554" w:rsidP="006C2554">
      <w:pPr>
        <w:rPr>
          <w:rFonts w:ascii="Arial" w:hAnsi="Arial" w:cs="Arial"/>
          <w:sz w:val="20"/>
          <w:szCs w:val="20"/>
        </w:rPr>
      </w:pPr>
    </w:p>
    <w:p w14:paraId="46094028" w14:textId="5082FEF9" w:rsidR="006C2554" w:rsidRDefault="006C2554" w:rsidP="006C2554">
      <w:pPr>
        <w:spacing w:line="360" w:lineRule="auto"/>
        <w:rPr>
          <w:rFonts w:ascii="Arial" w:hAnsi="Arial" w:cs="Arial"/>
          <w:sz w:val="16"/>
          <w:szCs w:val="16"/>
        </w:rPr>
      </w:pPr>
      <w:r w:rsidRPr="006C2554">
        <w:rPr>
          <w:rFonts w:cs="Calibri"/>
          <w:sz w:val="16"/>
          <w:szCs w:val="16"/>
        </w:rPr>
        <w:t>﻿</w:t>
      </w:r>
      <w:r w:rsidRPr="006C2554">
        <w:rPr>
          <w:rFonts w:ascii="Arial" w:hAnsi="Arial" w:cs="Arial"/>
          <w:sz w:val="16"/>
          <w:szCs w:val="16"/>
        </w:rPr>
        <w:t>* p-value &lt; 0.05</w:t>
      </w:r>
    </w:p>
    <w:p w14:paraId="4C7C6FEC" w14:textId="5CDE85ED" w:rsidR="006C2554" w:rsidRDefault="006C2554" w:rsidP="006C2554">
      <w:pPr>
        <w:spacing w:line="360" w:lineRule="auto"/>
        <w:rPr>
          <w:rFonts w:ascii="Arial" w:hAnsi="Arial" w:cs="Arial"/>
          <w:sz w:val="16"/>
          <w:szCs w:val="16"/>
        </w:rPr>
      </w:pPr>
    </w:p>
    <w:p w14:paraId="5FC4C317" w14:textId="1A7D3C13" w:rsidR="006C2554" w:rsidRDefault="006C2554" w:rsidP="006C2554">
      <w:pPr>
        <w:spacing w:line="360" w:lineRule="auto"/>
        <w:rPr>
          <w:rFonts w:ascii="Arial" w:hAnsi="Arial" w:cs="Arial"/>
          <w:sz w:val="16"/>
          <w:szCs w:val="16"/>
        </w:rPr>
      </w:pPr>
    </w:p>
    <w:p w14:paraId="3F4BFEE5" w14:textId="0866EC4D" w:rsidR="006C2554" w:rsidRDefault="006C2554" w:rsidP="006C2554">
      <w:pPr>
        <w:pStyle w:val="NormalWeb"/>
        <w:rPr>
          <w:rFonts w:ascii="Arial" w:hAnsi="Arial" w:cs="Arial"/>
          <w:sz w:val="16"/>
          <w:szCs w:val="16"/>
        </w:rPr>
      </w:pPr>
      <w:r w:rsidRPr="006C2554">
        <w:rPr>
          <w:rFonts w:ascii="Arial" w:hAnsi="Arial" w:cs="Arial"/>
          <w:b/>
          <w:bCs/>
          <w:sz w:val="16"/>
          <w:szCs w:val="16"/>
        </w:rPr>
        <w:t>Table 5.</w:t>
      </w:r>
      <w:r w:rsidRPr="006C2554">
        <w:rPr>
          <w:rFonts w:ascii="Arial" w:hAnsi="Arial" w:cs="Arial"/>
          <w:sz w:val="16"/>
          <w:szCs w:val="16"/>
        </w:rPr>
        <w:t xml:space="preserve"> Risk factors affecting AEFI at 24 – 48 hours and 48 hours – 7 days </w:t>
      </w:r>
    </w:p>
    <w:tbl>
      <w:tblPr>
        <w:tblW w:w="13917" w:type="dxa"/>
        <w:tblBorders>
          <w:top w:val="single" w:sz="4" w:space="0" w:color="auto"/>
          <w:bottom w:val="single" w:sz="4" w:space="0" w:color="auto"/>
        </w:tblBorders>
        <w:tblLook w:val="04A0" w:firstRow="1" w:lastRow="0" w:firstColumn="1" w:lastColumn="0" w:noHBand="0" w:noVBand="1"/>
      </w:tblPr>
      <w:tblGrid>
        <w:gridCol w:w="3330"/>
        <w:gridCol w:w="1128"/>
        <w:gridCol w:w="1000"/>
        <w:gridCol w:w="18"/>
        <w:gridCol w:w="728"/>
        <w:gridCol w:w="18"/>
        <w:gridCol w:w="616"/>
        <w:gridCol w:w="18"/>
        <w:gridCol w:w="733"/>
        <w:gridCol w:w="18"/>
        <w:gridCol w:w="724"/>
        <w:gridCol w:w="9"/>
        <w:gridCol w:w="19"/>
        <w:gridCol w:w="1104"/>
        <w:gridCol w:w="19"/>
        <w:gridCol w:w="986"/>
        <w:gridCol w:w="19"/>
        <w:gridCol w:w="661"/>
        <w:gridCol w:w="19"/>
        <w:gridCol w:w="853"/>
        <w:gridCol w:w="19"/>
        <w:gridCol w:w="918"/>
        <w:gridCol w:w="19"/>
        <w:gridCol w:w="921"/>
        <w:gridCol w:w="20"/>
      </w:tblGrid>
      <w:tr w:rsidR="006C2554" w:rsidRPr="006C2554" w14:paraId="2EBE56B6" w14:textId="77777777" w:rsidTr="00D43ECF">
        <w:trPr>
          <w:gridAfter w:val="1"/>
          <w:wAfter w:w="20" w:type="dxa"/>
          <w:trHeight w:val="244"/>
        </w:trPr>
        <w:tc>
          <w:tcPr>
            <w:tcW w:w="3330" w:type="dxa"/>
            <w:vMerge w:val="restart"/>
            <w:tcBorders>
              <w:top w:val="single" w:sz="4" w:space="0" w:color="auto"/>
              <w:bottom w:val="single" w:sz="4" w:space="0" w:color="auto"/>
            </w:tcBorders>
            <w:shd w:val="clear" w:color="auto" w:fill="auto"/>
            <w:vAlign w:val="center"/>
            <w:hideMark/>
          </w:tcPr>
          <w:p w14:paraId="336A74F2"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Risk factor</w:t>
            </w:r>
          </w:p>
        </w:tc>
        <w:tc>
          <w:tcPr>
            <w:tcW w:w="5001" w:type="dxa"/>
            <w:gridSpan w:val="10"/>
            <w:tcBorders>
              <w:top w:val="single" w:sz="4" w:space="0" w:color="auto"/>
              <w:bottom w:val="single" w:sz="4" w:space="0" w:color="auto"/>
            </w:tcBorders>
            <w:shd w:val="clear" w:color="auto" w:fill="auto"/>
            <w:noWrap/>
            <w:vAlign w:val="center"/>
            <w:hideMark/>
          </w:tcPr>
          <w:p w14:paraId="161528E1"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 24 - 48 hours</w:t>
            </w:r>
          </w:p>
        </w:tc>
        <w:tc>
          <w:tcPr>
            <w:tcW w:w="5566" w:type="dxa"/>
            <w:gridSpan w:val="13"/>
            <w:tcBorders>
              <w:top w:val="single" w:sz="4" w:space="0" w:color="auto"/>
              <w:bottom w:val="single" w:sz="4" w:space="0" w:color="auto"/>
            </w:tcBorders>
            <w:shd w:val="clear" w:color="auto" w:fill="auto"/>
            <w:noWrap/>
            <w:vAlign w:val="center"/>
            <w:hideMark/>
          </w:tcPr>
          <w:p w14:paraId="44CE05B9"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 48 hours - 7 days</w:t>
            </w:r>
          </w:p>
        </w:tc>
      </w:tr>
      <w:tr w:rsidR="006C2554" w:rsidRPr="006C2554" w14:paraId="05F7E766" w14:textId="77777777" w:rsidTr="00D43ECF">
        <w:trPr>
          <w:trHeight w:val="261"/>
        </w:trPr>
        <w:tc>
          <w:tcPr>
            <w:tcW w:w="3330" w:type="dxa"/>
            <w:vMerge/>
            <w:tcBorders>
              <w:top w:val="single" w:sz="4" w:space="0" w:color="auto"/>
              <w:bottom w:val="single" w:sz="4" w:space="0" w:color="auto"/>
            </w:tcBorders>
            <w:vAlign w:val="center"/>
            <w:hideMark/>
          </w:tcPr>
          <w:p w14:paraId="5711490D"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128" w:type="dxa"/>
            <w:tcBorders>
              <w:top w:val="single" w:sz="4" w:space="0" w:color="auto"/>
              <w:bottom w:val="single" w:sz="4" w:space="0" w:color="auto"/>
            </w:tcBorders>
            <w:shd w:val="clear" w:color="auto" w:fill="auto"/>
            <w:vAlign w:val="center"/>
            <w:hideMark/>
          </w:tcPr>
          <w:p w14:paraId="4D2C55C2"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NO AEFI</w:t>
            </w:r>
          </w:p>
        </w:tc>
        <w:tc>
          <w:tcPr>
            <w:tcW w:w="1018" w:type="dxa"/>
            <w:gridSpan w:val="2"/>
            <w:tcBorders>
              <w:top w:val="single" w:sz="4" w:space="0" w:color="auto"/>
              <w:bottom w:val="single" w:sz="4" w:space="0" w:color="auto"/>
            </w:tcBorders>
            <w:shd w:val="clear" w:color="auto" w:fill="auto"/>
            <w:vAlign w:val="center"/>
            <w:hideMark/>
          </w:tcPr>
          <w:p w14:paraId="38E2CBBE"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w:t>
            </w:r>
          </w:p>
        </w:tc>
        <w:tc>
          <w:tcPr>
            <w:tcW w:w="746" w:type="dxa"/>
            <w:gridSpan w:val="2"/>
            <w:vMerge w:val="restart"/>
            <w:tcBorders>
              <w:top w:val="single" w:sz="4" w:space="0" w:color="auto"/>
              <w:bottom w:val="single" w:sz="4" w:space="0" w:color="auto"/>
            </w:tcBorders>
            <w:shd w:val="clear" w:color="auto" w:fill="auto"/>
            <w:noWrap/>
            <w:vAlign w:val="center"/>
            <w:hideMark/>
          </w:tcPr>
          <w:p w14:paraId="6FAF10D0"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p-value</w:t>
            </w:r>
          </w:p>
        </w:tc>
        <w:tc>
          <w:tcPr>
            <w:tcW w:w="634" w:type="dxa"/>
            <w:gridSpan w:val="2"/>
            <w:vMerge w:val="restart"/>
            <w:tcBorders>
              <w:top w:val="single" w:sz="4" w:space="0" w:color="auto"/>
              <w:bottom w:val="single" w:sz="4" w:space="0" w:color="auto"/>
            </w:tcBorders>
            <w:shd w:val="clear" w:color="auto" w:fill="auto"/>
            <w:noWrap/>
            <w:vAlign w:val="center"/>
            <w:hideMark/>
          </w:tcPr>
          <w:p w14:paraId="2A24DEC5"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OR</w:t>
            </w:r>
          </w:p>
        </w:tc>
        <w:tc>
          <w:tcPr>
            <w:tcW w:w="1503" w:type="dxa"/>
            <w:gridSpan w:val="5"/>
            <w:tcBorders>
              <w:top w:val="single" w:sz="4" w:space="0" w:color="auto"/>
              <w:bottom w:val="single" w:sz="4" w:space="0" w:color="auto"/>
            </w:tcBorders>
            <w:shd w:val="clear" w:color="auto" w:fill="auto"/>
            <w:noWrap/>
            <w:vAlign w:val="center"/>
            <w:hideMark/>
          </w:tcPr>
          <w:p w14:paraId="6382F1EC"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95 % CI</w:t>
            </w:r>
          </w:p>
        </w:tc>
        <w:tc>
          <w:tcPr>
            <w:tcW w:w="1123" w:type="dxa"/>
            <w:gridSpan w:val="2"/>
            <w:tcBorders>
              <w:top w:val="single" w:sz="4" w:space="0" w:color="auto"/>
              <w:bottom w:val="single" w:sz="4" w:space="0" w:color="auto"/>
            </w:tcBorders>
            <w:shd w:val="clear" w:color="auto" w:fill="auto"/>
            <w:vAlign w:val="center"/>
            <w:hideMark/>
          </w:tcPr>
          <w:p w14:paraId="3187DA14"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NO AEFI</w:t>
            </w:r>
          </w:p>
        </w:tc>
        <w:tc>
          <w:tcPr>
            <w:tcW w:w="1005" w:type="dxa"/>
            <w:gridSpan w:val="2"/>
            <w:tcBorders>
              <w:top w:val="single" w:sz="4" w:space="0" w:color="auto"/>
              <w:bottom w:val="single" w:sz="4" w:space="0" w:color="auto"/>
            </w:tcBorders>
            <w:shd w:val="clear" w:color="auto" w:fill="auto"/>
            <w:vAlign w:val="center"/>
            <w:hideMark/>
          </w:tcPr>
          <w:p w14:paraId="43C607F5"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AEFI</w:t>
            </w:r>
          </w:p>
        </w:tc>
        <w:tc>
          <w:tcPr>
            <w:tcW w:w="680" w:type="dxa"/>
            <w:gridSpan w:val="2"/>
            <w:vMerge w:val="restart"/>
            <w:tcBorders>
              <w:top w:val="single" w:sz="4" w:space="0" w:color="auto"/>
              <w:bottom w:val="single" w:sz="4" w:space="0" w:color="auto"/>
            </w:tcBorders>
            <w:shd w:val="clear" w:color="auto" w:fill="auto"/>
            <w:noWrap/>
            <w:vAlign w:val="center"/>
            <w:hideMark/>
          </w:tcPr>
          <w:p w14:paraId="1F2C21EA"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p-value</w:t>
            </w:r>
          </w:p>
        </w:tc>
        <w:tc>
          <w:tcPr>
            <w:tcW w:w="872" w:type="dxa"/>
            <w:gridSpan w:val="2"/>
            <w:vMerge w:val="restart"/>
            <w:tcBorders>
              <w:top w:val="single" w:sz="4" w:space="0" w:color="auto"/>
              <w:bottom w:val="single" w:sz="4" w:space="0" w:color="auto"/>
            </w:tcBorders>
            <w:shd w:val="clear" w:color="auto" w:fill="auto"/>
            <w:noWrap/>
            <w:vAlign w:val="center"/>
            <w:hideMark/>
          </w:tcPr>
          <w:p w14:paraId="7B1DD4A9"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OR</w:t>
            </w:r>
          </w:p>
        </w:tc>
        <w:tc>
          <w:tcPr>
            <w:tcW w:w="1878" w:type="dxa"/>
            <w:gridSpan w:val="4"/>
            <w:tcBorders>
              <w:top w:val="single" w:sz="4" w:space="0" w:color="auto"/>
              <w:bottom w:val="single" w:sz="4" w:space="0" w:color="auto"/>
            </w:tcBorders>
            <w:shd w:val="clear" w:color="auto" w:fill="auto"/>
            <w:noWrap/>
            <w:vAlign w:val="center"/>
            <w:hideMark/>
          </w:tcPr>
          <w:p w14:paraId="4274629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95 % CI</w:t>
            </w:r>
          </w:p>
        </w:tc>
      </w:tr>
      <w:tr w:rsidR="006C2554" w:rsidRPr="006C2554" w14:paraId="159A34C9" w14:textId="77777777" w:rsidTr="00D43ECF">
        <w:trPr>
          <w:trHeight w:val="279"/>
        </w:trPr>
        <w:tc>
          <w:tcPr>
            <w:tcW w:w="3330" w:type="dxa"/>
            <w:vMerge/>
            <w:tcBorders>
              <w:top w:val="single" w:sz="4" w:space="0" w:color="auto"/>
              <w:bottom w:val="single" w:sz="4" w:space="0" w:color="auto"/>
            </w:tcBorders>
            <w:vAlign w:val="center"/>
            <w:hideMark/>
          </w:tcPr>
          <w:p w14:paraId="1274D6AD"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128" w:type="dxa"/>
            <w:tcBorders>
              <w:top w:val="single" w:sz="4" w:space="0" w:color="auto"/>
              <w:bottom w:val="single" w:sz="4" w:space="0" w:color="auto"/>
            </w:tcBorders>
            <w:shd w:val="clear" w:color="auto" w:fill="auto"/>
            <w:vAlign w:val="center"/>
            <w:hideMark/>
          </w:tcPr>
          <w:p w14:paraId="275C5B2E"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1018" w:type="dxa"/>
            <w:gridSpan w:val="2"/>
            <w:tcBorders>
              <w:top w:val="single" w:sz="4" w:space="0" w:color="auto"/>
              <w:bottom w:val="single" w:sz="4" w:space="0" w:color="auto"/>
            </w:tcBorders>
            <w:shd w:val="clear" w:color="auto" w:fill="auto"/>
            <w:vAlign w:val="center"/>
            <w:hideMark/>
          </w:tcPr>
          <w:p w14:paraId="1D22AD42"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746" w:type="dxa"/>
            <w:gridSpan w:val="2"/>
            <w:vMerge/>
            <w:tcBorders>
              <w:top w:val="single" w:sz="4" w:space="0" w:color="auto"/>
              <w:bottom w:val="single" w:sz="4" w:space="0" w:color="auto"/>
            </w:tcBorders>
            <w:vAlign w:val="center"/>
            <w:hideMark/>
          </w:tcPr>
          <w:p w14:paraId="565D83A2"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634" w:type="dxa"/>
            <w:gridSpan w:val="2"/>
            <w:vMerge/>
            <w:tcBorders>
              <w:top w:val="single" w:sz="4" w:space="0" w:color="auto"/>
              <w:bottom w:val="single" w:sz="4" w:space="0" w:color="auto"/>
            </w:tcBorders>
            <w:vAlign w:val="center"/>
            <w:hideMark/>
          </w:tcPr>
          <w:p w14:paraId="5C8FC2B4"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751" w:type="dxa"/>
            <w:gridSpan w:val="2"/>
            <w:tcBorders>
              <w:top w:val="single" w:sz="4" w:space="0" w:color="auto"/>
              <w:bottom w:val="single" w:sz="4" w:space="0" w:color="auto"/>
            </w:tcBorders>
            <w:shd w:val="clear" w:color="auto" w:fill="auto"/>
            <w:noWrap/>
            <w:vAlign w:val="center"/>
            <w:hideMark/>
          </w:tcPr>
          <w:p w14:paraId="122D5FF7"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Lower</w:t>
            </w:r>
          </w:p>
        </w:tc>
        <w:tc>
          <w:tcPr>
            <w:tcW w:w="752" w:type="dxa"/>
            <w:gridSpan w:val="3"/>
            <w:tcBorders>
              <w:top w:val="single" w:sz="4" w:space="0" w:color="auto"/>
              <w:bottom w:val="single" w:sz="4" w:space="0" w:color="auto"/>
            </w:tcBorders>
            <w:shd w:val="clear" w:color="auto" w:fill="auto"/>
            <w:noWrap/>
            <w:vAlign w:val="center"/>
            <w:hideMark/>
          </w:tcPr>
          <w:p w14:paraId="71C741C5"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Upper</w:t>
            </w:r>
          </w:p>
        </w:tc>
        <w:tc>
          <w:tcPr>
            <w:tcW w:w="1123" w:type="dxa"/>
            <w:gridSpan w:val="2"/>
            <w:tcBorders>
              <w:top w:val="single" w:sz="4" w:space="0" w:color="auto"/>
              <w:bottom w:val="single" w:sz="4" w:space="0" w:color="auto"/>
            </w:tcBorders>
            <w:shd w:val="clear" w:color="auto" w:fill="auto"/>
            <w:vAlign w:val="center"/>
            <w:hideMark/>
          </w:tcPr>
          <w:p w14:paraId="043327DE"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1005" w:type="dxa"/>
            <w:gridSpan w:val="2"/>
            <w:tcBorders>
              <w:top w:val="single" w:sz="4" w:space="0" w:color="auto"/>
              <w:bottom w:val="single" w:sz="4" w:space="0" w:color="auto"/>
            </w:tcBorders>
            <w:shd w:val="clear" w:color="auto" w:fill="auto"/>
            <w:vAlign w:val="center"/>
            <w:hideMark/>
          </w:tcPr>
          <w:p w14:paraId="398D2885"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n (%)</w:t>
            </w:r>
          </w:p>
        </w:tc>
        <w:tc>
          <w:tcPr>
            <w:tcW w:w="680" w:type="dxa"/>
            <w:gridSpan w:val="2"/>
            <w:vMerge/>
            <w:tcBorders>
              <w:top w:val="single" w:sz="4" w:space="0" w:color="auto"/>
              <w:bottom w:val="single" w:sz="4" w:space="0" w:color="auto"/>
            </w:tcBorders>
            <w:vAlign w:val="center"/>
            <w:hideMark/>
          </w:tcPr>
          <w:p w14:paraId="77584AFB"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872" w:type="dxa"/>
            <w:gridSpan w:val="2"/>
            <w:vMerge/>
            <w:tcBorders>
              <w:top w:val="single" w:sz="4" w:space="0" w:color="auto"/>
              <w:bottom w:val="single" w:sz="4" w:space="0" w:color="auto"/>
            </w:tcBorders>
            <w:vAlign w:val="center"/>
            <w:hideMark/>
          </w:tcPr>
          <w:p w14:paraId="11418921"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937" w:type="dxa"/>
            <w:gridSpan w:val="2"/>
            <w:tcBorders>
              <w:top w:val="single" w:sz="4" w:space="0" w:color="auto"/>
              <w:bottom w:val="single" w:sz="4" w:space="0" w:color="auto"/>
            </w:tcBorders>
            <w:shd w:val="clear" w:color="auto" w:fill="auto"/>
            <w:noWrap/>
            <w:vAlign w:val="center"/>
            <w:hideMark/>
          </w:tcPr>
          <w:p w14:paraId="1A3679E7"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Lower</w:t>
            </w:r>
          </w:p>
        </w:tc>
        <w:tc>
          <w:tcPr>
            <w:tcW w:w="941" w:type="dxa"/>
            <w:gridSpan w:val="2"/>
            <w:tcBorders>
              <w:top w:val="single" w:sz="4" w:space="0" w:color="auto"/>
              <w:bottom w:val="single" w:sz="4" w:space="0" w:color="auto"/>
            </w:tcBorders>
            <w:shd w:val="clear" w:color="auto" w:fill="auto"/>
            <w:noWrap/>
            <w:vAlign w:val="center"/>
            <w:hideMark/>
          </w:tcPr>
          <w:p w14:paraId="36EF4E43"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Upper</w:t>
            </w:r>
          </w:p>
        </w:tc>
      </w:tr>
      <w:tr w:rsidR="006C2554" w:rsidRPr="006C2554" w14:paraId="41375061" w14:textId="77777777" w:rsidTr="006C2554">
        <w:trPr>
          <w:trHeight w:val="68"/>
        </w:trPr>
        <w:tc>
          <w:tcPr>
            <w:tcW w:w="3330" w:type="dxa"/>
            <w:tcBorders>
              <w:top w:val="single" w:sz="4" w:space="0" w:color="auto"/>
            </w:tcBorders>
            <w:shd w:val="clear" w:color="auto" w:fill="auto"/>
            <w:noWrap/>
            <w:vAlign w:val="bottom"/>
            <w:hideMark/>
          </w:tcPr>
          <w:p w14:paraId="57E7D1B1"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Gender</w:t>
            </w:r>
          </w:p>
        </w:tc>
        <w:tc>
          <w:tcPr>
            <w:tcW w:w="1128" w:type="dxa"/>
            <w:tcBorders>
              <w:top w:val="single" w:sz="4" w:space="0" w:color="auto"/>
            </w:tcBorders>
            <w:shd w:val="clear" w:color="auto" w:fill="auto"/>
            <w:noWrap/>
            <w:vAlign w:val="bottom"/>
            <w:hideMark/>
          </w:tcPr>
          <w:p w14:paraId="736468DC"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18" w:type="dxa"/>
            <w:gridSpan w:val="2"/>
            <w:tcBorders>
              <w:top w:val="single" w:sz="4" w:space="0" w:color="auto"/>
            </w:tcBorders>
            <w:shd w:val="clear" w:color="auto" w:fill="auto"/>
            <w:noWrap/>
            <w:vAlign w:val="bottom"/>
            <w:hideMark/>
          </w:tcPr>
          <w:p w14:paraId="6E17BFE6"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46" w:type="dxa"/>
            <w:gridSpan w:val="2"/>
            <w:tcBorders>
              <w:top w:val="single" w:sz="4" w:space="0" w:color="auto"/>
            </w:tcBorders>
            <w:shd w:val="clear" w:color="auto" w:fill="auto"/>
            <w:noWrap/>
            <w:vAlign w:val="bottom"/>
            <w:hideMark/>
          </w:tcPr>
          <w:p w14:paraId="2029BDB0"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34" w:type="dxa"/>
            <w:gridSpan w:val="2"/>
            <w:tcBorders>
              <w:top w:val="single" w:sz="4" w:space="0" w:color="auto"/>
            </w:tcBorders>
            <w:shd w:val="clear" w:color="auto" w:fill="auto"/>
            <w:noWrap/>
            <w:vAlign w:val="bottom"/>
            <w:hideMark/>
          </w:tcPr>
          <w:p w14:paraId="7C5EC866"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51" w:type="dxa"/>
            <w:gridSpan w:val="2"/>
            <w:tcBorders>
              <w:top w:val="single" w:sz="4" w:space="0" w:color="auto"/>
            </w:tcBorders>
            <w:shd w:val="clear" w:color="auto" w:fill="auto"/>
            <w:noWrap/>
            <w:vAlign w:val="bottom"/>
            <w:hideMark/>
          </w:tcPr>
          <w:p w14:paraId="5B3AEB7C"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752" w:type="dxa"/>
            <w:gridSpan w:val="3"/>
            <w:tcBorders>
              <w:top w:val="single" w:sz="4" w:space="0" w:color="auto"/>
            </w:tcBorders>
            <w:shd w:val="clear" w:color="auto" w:fill="auto"/>
            <w:noWrap/>
            <w:vAlign w:val="bottom"/>
            <w:hideMark/>
          </w:tcPr>
          <w:p w14:paraId="7E68ECC1"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123" w:type="dxa"/>
            <w:gridSpan w:val="2"/>
            <w:tcBorders>
              <w:top w:val="single" w:sz="4" w:space="0" w:color="auto"/>
            </w:tcBorders>
            <w:shd w:val="clear" w:color="auto" w:fill="auto"/>
            <w:noWrap/>
            <w:vAlign w:val="bottom"/>
            <w:hideMark/>
          </w:tcPr>
          <w:p w14:paraId="1A4F99DB"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1005" w:type="dxa"/>
            <w:gridSpan w:val="2"/>
            <w:tcBorders>
              <w:top w:val="single" w:sz="4" w:space="0" w:color="auto"/>
            </w:tcBorders>
            <w:shd w:val="clear" w:color="auto" w:fill="auto"/>
            <w:noWrap/>
            <w:vAlign w:val="bottom"/>
            <w:hideMark/>
          </w:tcPr>
          <w:p w14:paraId="7ACE3634"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680" w:type="dxa"/>
            <w:gridSpan w:val="2"/>
            <w:tcBorders>
              <w:top w:val="single" w:sz="4" w:space="0" w:color="auto"/>
            </w:tcBorders>
            <w:shd w:val="clear" w:color="auto" w:fill="auto"/>
            <w:noWrap/>
            <w:vAlign w:val="bottom"/>
            <w:hideMark/>
          </w:tcPr>
          <w:p w14:paraId="54026C50"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872" w:type="dxa"/>
            <w:gridSpan w:val="2"/>
            <w:tcBorders>
              <w:top w:val="single" w:sz="4" w:space="0" w:color="auto"/>
            </w:tcBorders>
            <w:shd w:val="clear" w:color="auto" w:fill="auto"/>
            <w:noWrap/>
            <w:vAlign w:val="bottom"/>
            <w:hideMark/>
          </w:tcPr>
          <w:p w14:paraId="7C0229FA"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37" w:type="dxa"/>
            <w:gridSpan w:val="2"/>
            <w:tcBorders>
              <w:top w:val="single" w:sz="4" w:space="0" w:color="auto"/>
            </w:tcBorders>
            <w:shd w:val="clear" w:color="auto" w:fill="auto"/>
            <w:noWrap/>
            <w:vAlign w:val="bottom"/>
            <w:hideMark/>
          </w:tcPr>
          <w:p w14:paraId="7A1151C1"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c>
          <w:tcPr>
            <w:tcW w:w="941" w:type="dxa"/>
            <w:gridSpan w:val="2"/>
            <w:tcBorders>
              <w:top w:val="single" w:sz="4" w:space="0" w:color="auto"/>
            </w:tcBorders>
            <w:shd w:val="clear" w:color="auto" w:fill="auto"/>
            <w:noWrap/>
            <w:vAlign w:val="bottom"/>
            <w:hideMark/>
          </w:tcPr>
          <w:p w14:paraId="057A55B9"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w:t>
            </w:r>
          </w:p>
        </w:tc>
      </w:tr>
      <w:tr w:rsidR="006C2554" w:rsidRPr="006C2554" w14:paraId="14EA4DCC" w14:textId="77777777" w:rsidTr="006C2554">
        <w:trPr>
          <w:trHeight w:val="195"/>
        </w:trPr>
        <w:tc>
          <w:tcPr>
            <w:tcW w:w="3330" w:type="dxa"/>
            <w:shd w:val="clear" w:color="auto" w:fill="auto"/>
            <w:noWrap/>
            <w:vAlign w:val="center"/>
            <w:hideMark/>
          </w:tcPr>
          <w:p w14:paraId="02137F98"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Female</w:t>
            </w:r>
          </w:p>
        </w:tc>
        <w:tc>
          <w:tcPr>
            <w:tcW w:w="1128" w:type="dxa"/>
            <w:shd w:val="clear" w:color="auto" w:fill="auto"/>
            <w:noWrap/>
            <w:vAlign w:val="center"/>
            <w:hideMark/>
          </w:tcPr>
          <w:p w14:paraId="4112A257"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57 (38.5)</w:t>
            </w:r>
          </w:p>
        </w:tc>
        <w:tc>
          <w:tcPr>
            <w:tcW w:w="1018" w:type="dxa"/>
            <w:gridSpan w:val="2"/>
            <w:shd w:val="clear" w:color="auto" w:fill="auto"/>
            <w:noWrap/>
            <w:vAlign w:val="center"/>
            <w:hideMark/>
          </w:tcPr>
          <w:p w14:paraId="02EABF5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91 (61.5)</w:t>
            </w:r>
          </w:p>
        </w:tc>
        <w:tc>
          <w:tcPr>
            <w:tcW w:w="746" w:type="dxa"/>
            <w:gridSpan w:val="2"/>
            <w:shd w:val="clear" w:color="auto" w:fill="auto"/>
            <w:noWrap/>
            <w:vAlign w:val="center"/>
            <w:hideMark/>
          </w:tcPr>
          <w:p w14:paraId="02BA83DC"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&lt;0.001</w:t>
            </w:r>
          </w:p>
        </w:tc>
        <w:tc>
          <w:tcPr>
            <w:tcW w:w="634" w:type="dxa"/>
            <w:gridSpan w:val="2"/>
            <w:shd w:val="clear" w:color="auto" w:fill="auto"/>
            <w:vAlign w:val="center"/>
            <w:hideMark/>
          </w:tcPr>
          <w:p w14:paraId="486144F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0.371</w:t>
            </w:r>
          </w:p>
        </w:tc>
        <w:tc>
          <w:tcPr>
            <w:tcW w:w="751" w:type="dxa"/>
            <w:gridSpan w:val="2"/>
            <w:shd w:val="clear" w:color="auto" w:fill="auto"/>
            <w:vAlign w:val="center"/>
            <w:hideMark/>
          </w:tcPr>
          <w:p w14:paraId="569EE75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0.224</w:t>
            </w:r>
          </w:p>
        </w:tc>
        <w:tc>
          <w:tcPr>
            <w:tcW w:w="752" w:type="dxa"/>
            <w:gridSpan w:val="3"/>
            <w:shd w:val="clear" w:color="auto" w:fill="auto"/>
            <w:vAlign w:val="center"/>
            <w:hideMark/>
          </w:tcPr>
          <w:p w14:paraId="291D5789"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0.614</w:t>
            </w:r>
          </w:p>
        </w:tc>
        <w:tc>
          <w:tcPr>
            <w:tcW w:w="1123" w:type="dxa"/>
            <w:gridSpan w:val="2"/>
            <w:shd w:val="clear" w:color="auto" w:fill="auto"/>
            <w:noWrap/>
            <w:vAlign w:val="center"/>
            <w:hideMark/>
          </w:tcPr>
          <w:p w14:paraId="65B3EA5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109 (73.6)</w:t>
            </w:r>
          </w:p>
        </w:tc>
        <w:tc>
          <w:tcPr>
            <w:tcW w:w="1005" w:type="dxa"/>
            <w:gridSpan w:val="2"/>
            <w:shd w:val="clear" w:color="auto" w:fill="auto"/>
            <w:noWrap/>
            <w:vAlign w:val="center"/>
            <w:hideMark/>
          </w:tcPr>
          <w:p w14:paraId="42315DE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39 (26.4)</w:t>
            </w:r>
          </w:p>
        </w:tc>
        <w:tc>
          <w:tcPr>
            <w:tcW w:w="680" w:type="dxa"/>
            <w:gridSpan w:val="2"/>
            <w:shd w:val="clear" w:color="auto" w:fill="auto"/>
            <w:noWrap/>
            <w:vAlign w:val="center"/>
            <w:hideMark/>
          </w:tcPr>
          <w:p w14:paraId="7AEC220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0.05</w:t>
            </w:r>
          </w:p>
        </w:tc>
        <w:tc>
          <w:tcPr>
            <w:tcW w:w="872" w:type="dxa"/>
            <w:gridSpan w:val="2"/>
            <w:shd w:val="clear" w:color="auto" w:fill="auto"/>
            <w:vAlign w:val="center"/>
            <w:hideMark/>
          </w:tcPr>
          <w:p w14:paraId="4FE2992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0.53</w:t>
            </w:r>
          </w:p>
        </w:tc>
        <w:tc>
          <w:tcPr>
            <w:tcW w:w="937" w:type="dxa"/>
            <w:gridSpan w:val="2"/>
            <w:shd w:val="clear" w:color="auto" w:fill="auto"/>
            <w:vAlign w:val="center"/>
            <w:hideMark/>
          </w:tcPr>
          <w:p w14:paraId="431B0806"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0.284</w:t>
            </w:r>
          </w:p>
        </w:tc>
        <w:tc>
          <w:tcPr>
            <w:tcW w:w="941" w:type="dxa"/>
            <w:gridSpan w:val="2"/>
            <w:shd w:val="clear" w:color="auto" w:fill="auto"/>
            <w:vAlign w:val="center"/>
            <w:hideMark/>
          </w:tcPr>
          <w:p w14:paraId="7F0F9C40"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0.987</w:t>
            </w:r>
          </w:p>
        </w:tc>
      </w:tr>
      <w:tr w:rsidR="006C2554" w:rsidRPr="006C2554" w14:paraId="4EB1CD51" w14:textId="77777777" w:rsidTr="006C2554">
        <w:trPr>
          <w:trHeight w:val="216"/>
        </w:trPr>
        <w:tc>
          <w:tcPr>
            <w:tcW w:w="3330" w:type="dxa"/>
            <w:shd w:val="clear" w:color="auto" w:fill="auto"/>
            <w:noWrap/>
            <w:vAlign w:val="center"/>
            <w:hideMark/>
          </w:tcPr>
          <w:p w14:paraId="7BB73909"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Male</w:t>
            </w:r>
          </w:p>
        </w:tc>
        <w:tc>
          <w:tcPr>
            <w:tcW w:w="1128" w:type="dxa"/>
            <w:shd w:val="clear" w:color="auto" w:fill="auto"/>
            <w:noWrap/>
            <w:vAlign w:val="center"/>
            <w:hideMark/>
          </w:tcPr>
          <w:p w14:paraId="3F141BB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71 (62.8)</w:t>
            </w:r>
          </w:p>
        </w:tc>
        <w:tc>
          <w:tcPr>
            <w:tcW w:w="1018" w:type="dxa"/>
            <w:gridSpan w:val="2"/>
            <w:shd w:val="clear" w:color="auto" w:fill="auto"/>
            <w:noWrap/>
            <w:vAlign w:val="center"/>
            <w:hideMark/>
          </w:tcPr>
          <w:p w14:paraId="0178D2B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42 (37.2)</w:t>
            </w:r>
          </w:p>
        </w:tc>
        <w:tc>
          <w:tcPr>
            <w:tcW w:w="746" w:type="dxa"/>
            <w:gridSpan w:val="2"/>
            <w:shd w:val="clear" w:color="auto" w:fill="auto"/>
            <w:noWrap/>
            <w:vAlign w:val="center"/>
            <w:hideMark/>
          </w:tcPr>
          <w:p w14:paraId="13397587"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1E5E7FDB"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2A5BC24C"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1D39B59D"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49F91B9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95 (84.1)</w:t>
            </w:r>
          </w:p>
        </w:tc>
        <w:tc>
          <w:tcPr>
            <w:tcW w:w="1005" w:type="dxa"/>
            <w:gridSpan w:val="2"/>
            <w:shd w:val="clear" w:color="auto" w:fill="auto"/>
            <w:noWrap/>
            <w:vAlign w:val="center"/>
            <w:hideMark/>
          </w:tcPr>
          <w:p w14:paraId="74A55AD8"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18 (15.9)</w:t>
            </w:r>
          </w:p>
        </w:tc>
        <w:tc>
          <w:tcPr>
            <w:tcW w:w="680" w:type="dxa"/>
            <w:gridSpan w:val="2"/>
            <w:shd w:val="clear" w:color="auto" w:fill="auto"/>
            <w:noWrap/>
            <w:vAlign w:val="center"/>
            <w:hideMark/>
          </w:tcPr>
          <w:p w14:paraId="069AFBEB"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02BF2C22"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7B0CCBF2"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34F8FA94"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18D77FEA" w14:textId="77777777" w:rsidTr="006C2554">
        <w:trPr>
          <w:trHeight w:val="162"/>
        </w:trPr>
        <w:tc>
          <w:tcPr>
            <w:tcW w:w="3330" w:type="dxa"/>
            <w:shd w:val="clear" w:color="auto" w:fill="auto"/>
            <w:noWrap/>
            <w:vAlign w:val="bottom"/>
            <w:hideMark/>
          </w:tcPr>
          <w:p w14:paraId="161E7631"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Age</w:t>
            </w:r>
          </w:p>
        </w:tc>
        <w:tc>
          <w:tcPr>
            <w:tcW w:w="1128" w:type="dxa"/>
            <w:shd w:val="clear" w:color="auto" w:fill="auto"/>
            <w:noWrap/>
            <w:vAlign w:val="center"/>
            <w:hideMark/>
          </w:tcPr>
          <w:p w14:paraId="29A90082"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5385325F"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37EA5ABA"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34A760D8"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143B1F0E"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3B2314BB"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4BDF300F"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4C439F64"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5946A767"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0690FFBA"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3AF25DE"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714C57F7"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717EE8F6" w14:textId="77777777" w:rsidTr="006C2554">
        <w:trPr>
          <w:trHeight w:val="211"/>
        </w:trPr>
        <w:tc>
          <w:tcPr>
            <w:tcW w:w="3330" w:type="dxa"/>
            <w:shd w:val="clear" w:color="auto" w:fill="auto"/>
            <w:noWrap/>
            <w:vAlign w:val="bottom"/>
            <w:hideMark/>
          </w:tcPr>
          <w:p w14:paraId="1E52FE1D"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 25 </w:t>
            </w:r>
            <w:proofErr w:type="spellStart"/>
            <w:r w:rsidRPr="006C2554">
              <w:rPr>
                <w:rFonts w:ascii="Arial" w:hAnsi="Arial" w:cs="Arial"/>
                <w:color w:val="000000"/>
                <w:sz w:val="16"/>
                <w:szCs w:val="16"/>
              </w:rPr>
              <w:t>tahun</w:t>
            </w:r>
            <w:proofErr w:type="spellEnd"/>
          </w:p>
          <w:p w14:paraId="70EB6AA9" w14:textId="77777777" w:rsidR="006C2554" w:rsidRPr="006C2554" w:rsidRDefault="006C2554" w:rsidP="00D43ECF">
            <w:pPr>
              <w:spacing w:after="0" w:line="334" w:lineRule="auto"/>
              <w:contextualSpacing/>
              <w:rPr>
                <w:rFonts w:ascii="Arial" w:hAnsi="Arial" w:cs="Arial"/>
                <w:color w:val="000000"/>
                <w:sz w:val="16"/>
                <w:szCs w:val="16"/>
              </w:rPr>
            </w:pPr>
          </w:p>
        </w:tc>
        <w:tc>
          <w:tcPr>
            <w:tcW w:w="1128" w:type="dxa"/>
            <w:shd w:val="clear" w:color="auto" w:fill="auto"/>
            <w:vAlign w:val="center"/>
            <w:hideMark/>
          </w:tcPr>
          <w:p w14:paraId="1267C437"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56  (48.3)</w:t>
            </w:r>
          </w:p>
        </w:tc>
        <w:tc>
          <w:tcPr>
            <w:tcW w:w="1018" w:type="dxa"/>
            <w:gridSpan w:val="2"/>
            <w:shd w:val="clear" w:color="auto" w:fill="auto"/>
            <w:vAlign w:val="center"/>
            <w:hideMark/>
          </w:tcPr>
          <w:p w14:paraId="31DF3E5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60 (51.7)</w:t>
            </w:r>
          </w:p>
        </w:tc>
        <w:tc>
          <w:tcPr>
            <w:tcW w:w="746" w:type="dxa"/>
            <w:gridSpan w:val="2"/>
            <w:shd w:val="clear" w:color="auto" w:fill="auto"/>
            <w:noWrap/>
            <w:vAlign w:val="center"/>
            <w:hideMark/>
          </w:tcPr>
          <w:p w14:paraId="5C67203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0.023</w:t>
            </w:r>
          </w:p>
        </w:tc>
        <w:tc>
          <w:tcPr>
            <w:tcW w:w="634" w:type="dxa"/>
            <w:gridSpan w:val="2"/>
            <w:shd w:val="clear" w:color="auto" w:fill="auto"/>
            <w:vAlign w:val="center"/>
            <w:hideMark/>
          </w:tcPr>
          <w:p w14:paraId="7B4CAA6F"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751" w:type="dxa"/>
            <w:gridSpan w:val="2"/>
            <w:shd w:val="clear" w:color="auto" w:fill="auto"/>
            <w:vAlign w:val="center"/>
            <w:hideMark/>
          </w:tcPr>
          <w:p w14:paraId="4733623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752" w:type="dxa"/>
            <w:gridSpan w:val="3"/>
            <w:shd w:val="clear" w:color="auto" w:fill="auto"/>
            <w:vAlign w:val="center"/>
            <w:hideMark/>
          </w:tcPr>
          <w:p w14:paraId="194B44B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1123" w:type="dxa"/>
            <w:gridSpan w:val="2"/>
            <w:shd w:val="clear" w:color="auto" w:fill="auto"/>
            <w:vAlign w:val="center"/>
            <w:hideMark/>
          </w:tcPr>
          <w:p w14:paraId="7798534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101 (87.1)</w:t>
            </w:r>
          </w:p>
        </w:tc>
        <w:tc>
          <w:tcPr>
            <w:tcW w:w="1005" w:type="dxa"/>
            <w:gridSpan w:val="2"/>
            <w:shd w:val="clear" w:color="auto" w:fill="auto"/>
            <w:vAlign w:val="center"/>
            <w:hideMark/>
          </w:tcPr>
          <w:p w14:paraId="29BEF3F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 (12.9)</w:t>
            </w:r>
          </w:p>
        </w:tc>
        <w:tc>
          <w:tcPr>
            <w:tcW w:w="680" w:type="dxa"/>
            <w:gridSpan w:val="2"/>
            <w:shd w:val="clear" w:color="auto" w:fill="auto"/>
            <w:noWrap/>
            <w:vAlign w:val="center"/>
            <w:hideMark/>
          </w:tcPr>
          <w:p w14:paraId="1DA19D8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0.006</w:t>
            </w:r>
          </w:p>
        </w:tc>
        <w:tc>
          <w:tcPr>
            <w:tcW w:w="872" w:type="dxa"/>
            <w:gridSpan w:val="2"/>
            <w:shd w:val="clear" w:color="auto" w:fill="auto"/>
            <w:vAlign w:val="center"/>
            <w:hideMark/>
          </w:tcPr>
          <w:p w14:paraId="5C25EFC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937" w:type="dxa"/>
            <w:gridSpan w:val="2"/>
            <w:shd w:val="clear" w:color="auto" w:fill="auto"/>
            <w:vAlign w:val="center"/>
            <w:hideMark/>
          </w:tcPr>
          <w:p w14:paraId="366BAE8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941" w:type="dxa"/>
            <w:gridSpan w:val="2"/>
            <w:shd w:val="clear" w:color="auto" w:fill="auto"/>
            <w:vAlign w:val="center"/>
            <w:hideMark/>
          </w:tcPr>
          <w:p w14:paraId="5C13751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r>
      <w:tr w:rsidR="006C2554" w:rsidRPr="006C2554" w14:paraId="406AF2EA" w14:textId="77777777" w:rsidTr="006C2554">
        <w:trPr>
          <w:trHeight w:val="139"/>
        </w:trPr>
        <w:tc>
          <w:tcPr>
            <w:tcW w:w="3330" w:type="dxa"/>
            <w:shd w:val="clear" w:color="auto" w:fill="auto"/>
            <w:noWrap/>
            <w:vAlign w:val="center"/>
            <w:hideMark/>
          </w:tcPr>
          <w:p w14:paraId="2CBC12C4"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26– 45 </w:t>
            </w:r>
            <w:proofErr w:type="spellStart"/>
            <w:r w:rsidRPr="006C2554">
              <w:rPr>
                <w:rFonts w:ascii="Arial" w:hAnsi="Arial" w:cs="Arial"/>
                <w:color w:val="000000"/>
                <w:sz w:val="16"/>
                <w:szCs w:val="16"/>
              </w:rPr>
              <w:t>tahun</w:t>
            </w:r>
            <w:proofErr w:type="spellEnd"/>
          </w:p>
        </w:tc>
        <w:tc>
          <w:tcPr>
            <w:tcW w:w="1128" w:type="dxa"/>
            <w:shd w:val="clear" w:color="auto" w:fill="auto"/>
            <w:vAlign w:val="center"/>
            <w:hideMark/>
          </w:tcPr>
          <w:p w14:paraId="4628A42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47 (43.1)</w:t>
            </w:r>
          </w:p>
        </w:tc>
        <w:tc>
          <w:tcPr>
            <w:tcW w:w="1018" w:type="dxa"/>
            <w:gridSpan w:val="2"/>
            <w:shd w:val="clear" w:color="auto" w:fill="auto"/>
            <w:vAlign w:val="center"/>
            <w:hideMark/>
          </w:tcPr>
          <w:p w14:paraId="202F03F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62 (56.9)</w:t>
            </w:r>
          </w:p>
        </w:tc>
        <w:tc>
          <w:tcPr>
            <w:tcW w:w="746" w:type="dxa"/>
            <w:gridSpan w:val="2"/>
            <w:shd w:val="clear" w:color="auto" w:fill="auto"/>
            <w:noWrap/>
            <w:vAlign w:val="center"/>
            <w:hideMark/>
          </w:tcPr>
          <w:p w14:paraId="46B7648F"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634" w:type="dxa"/>
            <w:gridSpan w:val="2"/>
            <w:shd w:val="clear" w:color="auto" w:fill="auto"/>
            <w:noWrap/>
            <w:vAlign w:val="center"/>
            <w:hideMark/>
          </w:tcPr>
          <w:p w14:paraId="04998F47"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121A5BA8"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183AECBD"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vAlign w:val="center"/>
            <w:hideMark/>
          </w:tcPr>
          <w:p w14:paraId="2798C4AF"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76 (69.7)</w:t>
            </w:r>
          </w:p>
        </w:tc>
        <w:tc>
          <w:tcPr>
            <w:tcW w:w="1005" w:type="dxa"/>
            <w:gridSpan w:val="2"/>
            <w:shd w:val="clear" w:color="auto" w:fill="auto"/>
            <w:vAlign w:val="center"/>
            <w:hideMark/>
          </w:tcPr>
          <w:p w14:paraId="2ABE45F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 (30.3)</w:t>
            </w:r>
          </w:p>
        </w:tc>
        <w:tc>
          <w:tcPr>
            <w:tcW w:w="680" w:type="dxa"/>
            <w:gridSpan w:val="2"/>
            <w:shd w:val="clear" w:color="auto" w:fill="auto"/>
            <w:noWrap/>
            <w:vAlign w:val="center"/>
            <w:hideMark/>
          </w:tcPr>
          <w:p w14:paraId="608FE1A3"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872" w:type="dxa"/>
            <w:gridSpan w:val="2"/>
            <w:shd w:val="clear" w:color="auto" w:fill="auto"/>
            <w:noWrap/>
            <w:vAlign w:val="center"/>
            <w:hideMark/>
          </w:tcPr>
          <w:p w14:paraId="0AD0052E"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69637CD1"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8B8463A"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2C665125" w14:textId="77777777" w:rsidTr="006C2554">
        <w:trPr>
          <w:trHeight w:val="78"/>
        </w:trPr>
        <w:tc>
          <w:tcPr>
            <w:tcW w:w="3330" w:type="dxa"/>
            <w:shd w:val="clear" w:color="auto" w:fill="auto"/>
            <w:noWrap/>
            <w:vAlign w:val="bottom"/>
            <w:hideMark/>
          </w:tcPr>
          <w:p w14:paraId="61F5DEA9"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 xml:space="preserve">&gt;45 </w:t>
            </w:r>
            <w:proofErr w:type="spellStart"/>
            <w:r w:rsidRPr="006C2554">
              <w:rPr>
                <w:rFonts w:ascii="Arial" w:hAnsi="Arial" w:cs="Arial"/>
                <w:color w:val="000000"/>
                <w:sz w:val="16"/>
                <w:szCs w:val="16"/>
              </w:rPr>
              <w:t>tahun</w:t>
            </w:r>
            <w:proofErr w:type="spellEnd"/>
          </w:p>
        </w:tc>
        <w:tc>
          <w:tcPr>
            <w:tcW w:w="1128" w:type="dxa"/>
            <w:shd w:val="clear" w:color="auto" w:fill="auto"/>
            <w:vAlign w:val="center"/>
            <w:hideMark/>
          </w:tcPr>
          <w:p w14:paraId="306BE990"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25 (69.4)</w:t>
            </w:r>
          </w:p>
        </w:tc>
        <w:tc>
          <w:tcPr>
            <w:tcW w:w="1018" w:type="dxa"/>
            <w:gridSpan w:val="2"/>
            <w:shd w:val="clear" w:color="auto" w:fill="auto"/>
            <w:vAlign w:val="center"/>
            <w:hideMark/>
          </w:tcPr>
          <w:p w14:paraId="36EC0FE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 (30.6)</w:t>
            </w:r>
          </w:p>
        </w:tc>
        <w:tc>
          <w:tcPr>
            <w:tcW w:w="746" w:type="dxa"/>
            <w:gridSpan w:val="2"/>
            <w:shd w:val="clear" w:color="auto" w:fill="auto"/>
            <w:noWrap/>
            <w:vAlign w:val="center"/>
            <w:hideMark/>
          </w:tcPr>
          <w:p w14:paraId="192BF667"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634" w:type="dxa"/>
            <w:gridSpan w:val="2"/>
            <w:shd w:val="clear" w:color="auto" w:fill="auto"/>
            <w:noWrap/>
            <w:vAlign w:val="center"/>
            <w:hideMark/>
          </w:tcPr>
          <w:p w14:paraId="46989832"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67139AA4"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762075AB"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vAlign w:val="center"/>
            <w:hideMark/>
          </w:tcPr>
          <w:p w14:paraId="564F172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27 (75.0)</w:t>
            </w:r>
          </w:p>
        </w:tc>
        <w:tc>
          <w:tcPr>
            <w:tcW w:w="1005" w:type="dxa"/>
            <w:gridSpan w:val="2"/>
            <w:shd w:val="clear" w:color="auto" w:fill="auto"/>
            <w:vAlign w:val="center"/>
            <w:hideMark/>
          </w:tcPr>
          <w:p w14:paraId="3337507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9 (25.0)</w:t>
            </w:r>
          </w:p>
        </w:tc>
        <w:tc>
          <w:tcPr>
            <w:tcW w:w="680" w:type="dxa"/>
            <w:gridSpan w:val="2"/>
            <w:shd w:val="clear" w:color="auto" w:fill="auto"/>
            <w:noWrap/>
            <w:vAlign w:val="center"/>
            <w:hideMark/>
          </w:tcPr>
          <w:p w14:paraId="6C179CC8"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872" w:type="dxa"/>
            <w:gridSpan w:val="2"/>
            <w:shd w:val="clear" w:color="auto" w:fill="auto"/>
            <w:noWrap/>
            <w:vAlign w:val="center"/>
            <w:hideMark/>
          </w:tcPr>
          <w:p w14:paraId="60E68889"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710CE8F"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AD0EECF"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455752C7" w14:textId="77777777" w:rsidTr="00D43ECF">
        <w:trPr>
          <w:trHeight w:val="133"/>
        </w:trPr>
        <w:tc>
          <w:tcPr>
            <w:tcW w:w="3330" w:type="dxa"/>
            <w:shd w:val="clear" w:color="auto" w:fill="auto"/>
            <w:noWrap/>
            <w:vAlign w:val="bottom"/>
            <w:hideMark/>
          </w:tcPr>
          <w:p w14:paraId="6C43B907"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Body Mass index (BMI)</w:t>
            </w:r>
          </w:p>
        </w:tc>
        <w:tc>
          <w:tcPr>
            <w:tcW w:w="1128" w:type="dxa"/>
            <w:shd w:val="clear" w:color="auto" w:fill="auto"/>
            <w:noWrap/>
            <w:vAlign w:val="center"/>
            <w:hideMark/>
          </w:tcPr>
          <w:p w14:paraId="7D1E3168"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0A5A6A55"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49ADE29F"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2EDBB9E4"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3E772849"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7C5144CB"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54C91C80"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425744F9"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28FDE292"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2EE9B3E9"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56A7C650"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7D6FCEA4"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56D816FA" w14:textId="77777777" w:rsidTr="00D43ECF">
        <w:trPr>
          <w:trHeight w:val="179"/>
        </w:trPr>
        <w:tc>
          <w:tcPr>
            <w:tcW w:w="3330" w:type="dxa"/>
            <w:shd w:val="clear" w:color="auto" w:fill="auto"/>
            <w:noWrap/>
            <w:vAlign w:val="center"/>
            <w:hideMark/>
          </w:tcPr>
          <w:p w14:paraId="420F7708"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Underweight  - Normal (&lt;18,5 - 24,9)</w:t>
            </w:r>
          </w:p>
        </w:tc>
        <w:tc>
          <w:tcPr>
            <w:tcW w:w="1128" w:type="dxa"/>
            <w:shd w:val="clear" w:color="auto" w:fill="auto"/>
            <w:vAlign w:val="center"/>
            <w:hideMark/>
          </w:tcPr>
          <w:p w14:paraId="6656467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87 (46.5)</w:t>
            </w:r>
          </w:p>
        </w:tc>
        <w:tc>
          <w:tcPr>
            <w:tcW w:w="1018" w:type="dxa"/>
            <w:gridSpan w:val="2"/>
            <w:shd w:val="clear" w:color="auto" w:fill="auto"/>
            <w:vAlign w:val="center"/>
            <w:hideMark/>
          </w:tcPr>
          <w:p w14:paraId="16DA5E4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100 (53.5)</w:t>
            </w:r>
          </w:p>
        </w:tc>
        <w:tc>
          <w:tcPr>
            <w:tcW w:w="746" w:type="dxa"/>
            <w:gridSpan w:val="2"/>
            <w:shd w:val="clear" w:color="auto" w:fill="auto"/>
            <w:noWrap/>
            <w:vAlign w:val="center"/>
            <w:hideMark/>
          </w:tcPr>
          <w:p w14:paraId="525EDCB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0.218</w:t>
            </w:r>
          </w:p>
        </w:tc>
        <w:tc>
          <w:tcPr>
            <w:tcW w:w="634" w:type="dxa"/>
            <w:gridSpan w:val="2"/>
            <w:shd w:val="clear" w:color="auto" w:fill="auto"/>
            <w:vAlign w:val="center"/>
            <w:hideMark/>
          </w:tcPr>
          <w:p w14:paraId="1C4586E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0.7</w:t>
            </w:r>
          </w:p>
        </w:tc>
        <w:tc>
          <w:tcPr>
            <w:tcW w:w="751" w:type="dxa"/>
            <w:gridSpan w:val="2"/>
            <w:shd w:val="clear" w:color="auto" w:fill="auto"/>
            <w:vAlign w:val="center"/>
            <w:hideMark/>
          </w:tcPr>
          <w:p w14:paraId="32546D5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0.408</w:t>
            </w:r>
          </w:p>
        </w:tc>
        <w:tc>
          <w:tcPr>
            <w:tcW w:w="752" w:type="dxa"/>
            <w:gridSpan w:val="3"/>
            <w:shd w:val="clear" w:color="auto" w:fill="auto"/>
            <w:vAlign w:val="center"/>
            <w:hideMark/>
          </w:tcPr>
          <w:p w14:paraId="6BF4336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1.203</w:t>
            </w:r>
          </w:p>
        </w:tc>
        <w:tc>
          <w:tcPr>
            <w:tcW w:w="1123" w:type="dxa"/>
            <w:gridSpan w:val="2"/>
            <w:shd w:val="clear" w:color="auto" w:fill="auto"/>
            <w:vAlign w:val="center"/>
            <w:hideMark/>
          </w:tcPr>
          <w:p w14:paraId="12657746"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143 (76.5)</w:t>
            </w:r>
          </w:p>
        </w:tc>
        <w:tc>
          <w:tcPr>
            <w:tcW w:w="1005" w:type="dxa"/>
            <w:gridSpan w:val="2"/>
            <w:shd w:val="clear" w:color="auto" w:fill="auto"/>
            <w:vAlign w:val="center"/>
            <w:hideMark/>
          </w:tcPr>
          <w:p w14:paraId="599D856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44 (23.5)</w:t>
            </w:r>
          </w:p>
        </w:tc>
        <w:tc>
          <w:tcPr>
            <w:tcW w:w="680" w:type="dxa"/>
            <w:gridSpan w:val="2"/>
            <w:shd w:val="clear" w:color="auto" w:fill="auto"/>
            <w:noWrap/>
            <w:vAlign w:val="center"/>
            <w:hideMark/>
          </w:tcPr>
          <w:p w14:paraId="0B12C8F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0.323</w:t>
            </w:r>
          </w:p>
        </w:tc>
        <w:tc>
          <w:tcPr>
            <w:tcW w:w="872" w:type="dxa"/>
            <w:gridSpan w:val="2"/>
            <w:shd w:val="clear" w:color="auto" w:fill="auto"/>
            <w:vAlign w:val="center"/>
            <w:hideMark/>
          </w:tcPr>
          <w:p w14:paraId="6AB530D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0.693</w:t>
            </w:r>
          </w:p>
        </w:tc>
        <w:tc>
          <w:tcPr>
            <w:tcW w:w="937" w:type="dxa"/>
            <w:gridSpan w:val="2"/>
            <w:shd w:val="clear" w:color="auto" w:fill="auto"/>
            <w:vAlign w:val="center"/>
            <w:hideMark/>
          </w:tcPr>
          <w:p w14:paraId="44201C1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0.348</w:t>
            </w:r>
          </w:p>
        </w:tc>
        <w:tc>
          <w:tcPr>
            <w:tcW w:w="941" w:type="dxa"/>
            <w:gridSpan w:val="2"/>
            <w:shd w:val="clear" w:color="auto" w:fill="auto"/>
            <w:vAlign w:val="center"/>
            <w:hideMark/>
          </w:tcPr>
          <w:p w14:paraId="1EE1C89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1.377</w:t>
            </w:r>
          </w:p>
        </w:tc>
      </w:tr>
      <w:tr w:rsidR="006C2554" w:rsidRPr="006C2554" w14:paraId="4EC4E0CE" w14:textId="77777777" w:rsidTr="006C2554">
        <w:trPr>
          <w:trHeight w:val="216"/>
        </w:trPr>
        <w:tc>
          <w:tcPr>
            <w:tcW w:w="3330" w:type="dxa"/>
            <w:shd w:val="clear" w:color="auto" w:fill="auto"/>
            <w:noWrap/>
            <w:vAlign w:val="center"/>
            <w:hideMark/>
          </w:tcPr>
          <w:p w14:paraId="3AF6466B"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Overweight  - Obese (25 - ≥ 27)</w:t>
            </w:r>
          </w:p>
        </w:tc>
        <w:tc>
          <w:tcPr>
            <w:tcW w:w="1128" w:type="dxa"/>
            <w:shd w:val="clear" w:color="auto" w:fill="auto"/>
            <w:vAlign w:val="center"/>
            <w:hideMark/>
          </w:tcPr>
          <w:p w14:paraId="14F8494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41 (55.4)</w:t>
            </w:r>
          </w:p>
        </w:tc>
        <w:tc>
          <w:tcPr>
            <w:tcW w:w="1018" w:type="dxa"/>
            <w:gridSpan w:val="2"/>
            <w:shd w:val="clear" w:color="auto" w:fill="auto"/>
            <w:vAlign w:val="center"/>
            <w:hideMark/>
          </w:tcPr>
          <w:p w14:paraId="1420949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  (44.6)</w:t>
            </w:r>
          </w:p>
        </w:tc>
        <w:tc>
          <w:tcPr>
            <w:tcW w:w="746" w:type="dxa"/>
            <w:gridSpan w:val="2"/>
            <w:shd w:val="clear" w:color="auto" w:fill="auto"/>
            <w:noWrap/>
            <w:vAlign w:val="center"/>
            <w:hideMark/>
          </w:tcPr>
          <w:p w14:paraId="40F15699"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634" w:type="dxa"/>
            <w:gridSpan w:val="2"/>
            <w:shd w:val="clear" w:color="auto" w:fill="auto"/>
            <w:noWrap/>
            <w:vAlign w:val="center"/>
            <w:hideMark/>
          </w:tcPr>
          <w:p w14:paraId="0593FB16"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191423C2"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34AC75C3"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vAlign w:val="center"/>
            <w:hideMark/>
          </w:tcPr>
          <w:p w14:paraId="572E7AB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61 (82.4)</w:t>
            </w:r>
          </w:p>
        </w:tc>
        <w:tc>
          <w:tcPr>
            <w:tcW w:w="1005" w:type="dxa"/>
            <w:gridSpan w:val="2"/>
            <w:shd w:val="clear" w:color="auto" w:fill="auto"/>
            <w:vAlign w:val="center"/>
            <w:hideMark/>
          </w:tcPr>
          <w:p w14:paraId="2D2716F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 (17.6)</w:t>
            </w:r>
          </w:p>
        </w:tc>
        <w:tc>
          <w:tcPr>
            <w:tcW w:w="680" w:type="dxa"/>
            <w:gridSpan w:val="2"/>
            <w:shd w:val="clear" w:color="auto" w:fill="auto"/>
            <w:noWrap/>
            <w:vAlign w:val="center"/>
            <w:hideMark/>
          </w:tcPr>
          <w:p w14:paraId="4FA838E6" w14:textId="77777777" w:rsidR="006C2554" w:rsidRPr="006C2554" w:rsidRDefault="006C2554" w:rsidP="00D43ECF">
            <w:pPr>
              <w:spacing w:after="0" w:line="334" w:lineRule="auto"/>
              <w:contextualSpacing/>
              <w:jc w:val="center"/>
              <w:rPr>
                <w:rFonts w:ascii="Arial" w:hAnsi="Arial" w:cs="Arial"/>
                <w:color w:val="000000"/>
                <w:sz w:val="16"/>
                <w:szCs w:val="16"/>
              </w:rPr>
            </w:pPr>
          </w:p>
        </w:tc>
        <w:tc>
          <w:tcPr>
            <w:tcW w:w="872" w:type="dxa"/>
            <w:gridSpan w:val="2"/>
            <w:shd w:val="clear" w:color="auto" w:fill="auto"/>
            <w:noWrap/>
            <w:vAlign w:val="center"/>
            <w:hideMark/>
          </w:tcPr>
          <w:p w14:paraId="039BBA7B"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84DBBE1"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92D6D3F"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66A16451" w14:textId="77777777" w:rsidTr="006C2554">
        <w:trPr>
          <w:trHeight w:val="216"/>
        </w:trPr>
        <w:tc>
          <w:tcPr>
            <w:tcW w:w="3330" w:type="dxa"/>
            <w:shd w:val="clear" w:color="auto" w:fill="auto"/>
            <w:noWrap/>
            <w:vAlign w:val="center"/>
            <w:hideMark/>
          </w:tcPr>
          <w:p w14:paraId="71F10D48" w14:textId="77777777" w:rsidR="006C2554" w:rsidRPr="006C2554" w:rsidRDefault="006C2554" w:rsidP="00D43ECF">
            <w:pPr>
              <w:spacing w:after="0" w:line="334" w:lineRule="auto"/>
              <w:contextualSpacing/>
              <w:rPr>
                <w:rFonts w:ascii="Arial" w:hAnsi="Arial" w:cs="Arial"/>
                <w:b/>
                <w:bCs/>
                <w:color w:val="000000"/>
                <w:sz w:val="16"/>
                <w:szCs w:val="16"/>
              </w:rPr>
            </w:pPr>
            <w:proofErr w:type="spellStart"/>
            <w:r w:rsidRPr="006C2554">
              <w:rPr>
                <w:rFonts w:ascii="Arial" w:hAnsi="Arial" w:cs="Arial"/>
                <w:b/>
                <w:bCs/>
                <w:color w:val="000000"/>
                <w:sz w:val="16"/>
                <w:szCs w:val="16"/>
              </w:rPr>
              <w:t>Vacccine</w:t>
            </w:r>
            <w:proofErr w:type="spellEnd"/>
            <w:r w:rsidRPr="006C2554">
              <w:rPr>
                <w:rFonts w:ascii="Arial" w:hAnsi="Arial" w:cs="Arial"/>
                <w:b/>
                <w:bCs/>
                <w:color w:val="000000"/>
                <w:sz w:val="16"/>
                <w:szCs w:val="16"/>
              </w:rPr>
              <w:t xml:space="preserve"> type</w:t>
            </w:r>
          </w:p>
        </w:tc>
        <w:tc>
          <w:tcPr>
            <w:tcW w:w="1128" w:type="dxa"/>
            <w:shd w:val="clear" w:color="auto" w:fill="auto"/>
            <w:noWrap/>
            <w:vAlign w:val="center"/>
            <w:hideMark/>
          </w:tcPr>
          <w:p w14:paraId="47978A2D"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1B9CC67A"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6876FFE6"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384402A2"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2425BFCB"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573B9866"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2452701A"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09A35045"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594B0ABB"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2EE79375"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510BC16"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6E0C3D87"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5B2FC3AD" w14:textId="77777777" w:rsidTr="006C2554">
        <w:trPr>
          <w:trHeight w:val="132"/>
        </w:trPr>
        <w:tc>
          <w:tcPr>
            <w:tcW w:w="3330" w:type="dxa"/>
            <w:shd w:val="clear" w:color="auto" w:fill="auto"/>
            <w:noWrap/>
            <w:vAlign w:val="center"/>
            <w:hideMark/>
          </w:tcPr>
          <w:p w14:paraId="5892766E"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Pfizer</w:t>
            </w:r>
          </w:p>
        </w:tc>
        <w:tc>
          <w:tcPr>
            <w:tcW w:w="1128" w:type="dxa"/>
            <w:shd w:val="clear" w:color="auto" w:fill="auto"/>
            <w:noWrap/>
            <w:vAlign w:val="center"/>
            <w:hideMark/>
          </w:tcPr>
          <w:p w14:paraId="05D62F3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67 (59.8)</w:t>
            </w:r>
          </w:p>
        </w:tc>
        <w:tc>
          <w:tcPr>
            <w:tcW w:w="1018" w:type="dxa"/>
            <w:gridSpan w:val="2"/>
            <w:shd w:val="clear" w:color="auto" w:fill="auto"/>
            <w:noWrap/>
            <w:vAlign w:val="center"/>
            <w:hideMark/>
          </w:tcPr>
          <w:p w14:paraId="04DEB90A"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45 (40.2)</w:t>
            </w:r>
          </w:p>
        </w:tc>
        <w:tc>
          <w:tcPr>
            <w:tcW w:w="746" w:type="dxa"/>
            <w:gridSpan w:val="2"/>
            <w:shd w:val="clear" w:color="auto" w:fill="auto"/>
            <w:noWrap/>
            <w:vAlign w:val="center"/>
            <w:hideMark/>
          </w:tcPr>
          <w:p w14:paraId="6F6D567F"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0.003</w:t>
            </w:r>
          </w:p>
        </w:tc>
        <w:tc>
          <w:tcPr>
            <w:tcW w:w="634" w:type="dxa"/>
            <w:gridSpan w:val="2"/>
            <w:shd w:val="clear" w:color="auto" w:fill="auto"/>
            <w:vAlign w:val="center"/>
            <w:hideMark/>
          </w:tcPr>
          <w:p w14:paraId="509C4A3C"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2.148</w:t>
            </w:r>
          </w:p>
        </w:tc>
        <w:tc>
          <w:tcPr>
            <w:tcW w:w="751" w:type="dxa"/>
            <w:gridSpan w:val="2"/>
            <w:shd w:val="clear" w:color="auto" w:fill="auto"/>
            <w:vAlign w:val="center"/>
            <w:hideMark/>
          </w:tcPr>
          <w:p w14:paraId="16D8C2A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1.304</w:t>
            </w:r>
          </w:p>
        </w:tc>
        <w:tc>
          <w:tcPr>
            <w:tcW w:w="752" w:type="dxa"/>
            <w:gridSpan w:val="3"/>
            <w:shd w:val="clear" w:color="auto" w:fill="auto"/>
            <w:vAlign w:val="center"/>
            <w:hideMark/>
          </w:tcPr>
          <w:p w14:paraId="14AF645F"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3.539</w:t>
            </w:r>
          </w:p>
        </w:tc>
        <w:tc>
          <w:tcPr>
            <w:tcW w:w="1123" w:type="dxa"/>
            <w:gridSpan w:val="2"/>
            <w:shd w:val="clear" w:color="auto" w:fill="auto"/>
            <w:noWrap/>
            <w:vAlign w:val="center"/>
            <w:hideMark/>
          </w:tcPr>
          <w:p w14:paraId="27AA47B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107 (71.8)</w:t>
            </w:r>
          </w:p>
        </w:tc>
        <w:tc>
          <w:tcPr>
            <w:tcW w:w="1005" w:type="dxa"/>
            <w:gridSpan w:val="2"/>
            <w:shd w:val="clear" w:color="auto" w:fill="auto"/>
            <w:noWrap/>
            <w:vAlign w:val="center"/>
            <w:hideMark/>
          </w:tcPr>
          <w:p w14:paraId="4A8ECC1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42 (28.2)</w:t>
            </w:r>
          </w:p>
        </w:tc>
        <w:tc>
          <w:tcPr>
            <w:tcW w:w="680" w:type="dxa"/>
            <w:gridSpan w:val="2"/>
            <w:shd w:val="clear" w:color="auto" w:fill="auto"/>
            <w:noWrap/>
            <w:vAlign w:val="center"/>
            <w:hideMark/>
          </w:tcPr>
          <w:p w14:paraId="6339660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0.004</w:t>
            </w:r>
          </w:p>
        </w:tc>
        <w:tc>
          <w:tcPr>
            <w:tcW w:w="872" w:type="dxa"/>
            <w:gridSpan w:val="2"/>
            <w:shd w:val="clear" w:color="auto" w:fill="auto"/>
            <w:vAlign w:val="center"/>
            <w:hideMark/>
          </w:tcPr>
          <w:p w14:paraId="2C0CE1A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2.538</w:t>
            </w:r>
          </w:p>
        </w:tc>
        <w:tc>
          <w:tcPr>
            <w:tcW w:w="937" w:type="dxa"/>
            <w:gridSpan w:val="2"/>
            <w:shd w:val="clear" w:color="auto" w:fill="auto"/>
            <w:vAlign w:val="center"/>
            <w:hideMark/>
          </w:tcPr>
          <w:p w14:paraId="053AABB4"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1.325</w:t>
            </w:r>
          </w:p>
        </w:tc>
        <w:tc>
          <w:tcPr>
            <w:tcW w:w="941" w:type="dxa"/>
            <w:gridSpan w:val="2"/>
            <w:shd w:val="clear" w:color="auto" w:fill="auto"/>
            <w:vAlign w:val="center"/>
            <w:hideMark/>
          </w:tcPr>
          <w:p w14:paraId="36D9C38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4.864</w:t>
            </w:r>
          </w:p>
        </w:tc>
      </w:tr>
      <w:tr w:rsidR="006C2554" w:rsidRPr="006C2554" w14:paraId="00973673" w14:textId="77777777" w:rsidTr="006C2554">
        <w:trPr>
          <w:trHeight w:val="216"/>
        </w:trPr>
        <w:tc>
          <w:tcPr>
            <w:tcW w:w="3330" w:type="dxa"/>
            <w:shd w:val="clear" w:color="auto" w:fill="auto"/>
            <w:noWrap/>
            <w:vAlign w:val="center"/>
            <w:hideMark/>
          </w:tcPr>
          <w:p w14:paraId="52729A50"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Sinovac</w:t>
            </w:r>
          </w:p>
        </w:tc>
        <w:tc>
          <w:tcPr>
            <w:tcW w:w="1128" w:type="dxa"/>
            <w:shd w:val="clear" w:color="auto" w:fill="auto"/>
            <w:noWrap/>
            <w:vAlign w:val="center"/>
            <w:hideMark/>
          </w:tcPr>
          <w:p w14:paraId="1196E06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61 (40.9)</w:t>
            </w:r>
          </w:p>
        </w:tc>
        <w:tc>
          <w:tcPr>
            <w:tcW w:w="1018" w:type="dxa"/>
            <w:gridSpan w:val="2"/>
            <w:shd w:val="clear" w:color="auto" w:fill="auto"/>
            <w:noWrap/>
            <w:vAlign w:val="center"/>
            <w:hideMark/>
          </w:tcPr>
          <w:p w14:paraId="642CAEFB"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88 (59.1)</w:t>
            </w:r>
          </w:p>
        </w:tc>
        <w:tc>
          <w:tcPr>
            <w:tcW w:w="746" w:type="dxa"/>
            <w:gridSpan w:val="2"/>
            <w:shd w:val="clear" w:color="auto" w:fill="auto"/>
            <w:noWrap/>
            <w:vAlign w:val="center"/>
            <w:hideMark/>
          </w:tcPr>
          <w:p w14:paraId="2141B6EA"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7112FFC7"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00EB6E28"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62EDA78E"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5241E72D"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97 (86.6)</w:t>
            </w:r>
          </w:p>
        </w:tc>
        <w:tc>
          <w:tcPr>
            <w:tcW w:w="1005" w:type="dxa"/>
            <w:gridSpan w:val="2"/>
            <w:shd w:val="clear" w:color="auto" w:fill="auto"/>
            <w:noWrap/>
            <w:vAlign w:val="center"/>
            <w:hideMark/>
          </w:tcPr>
          <w:p w14:paraId="454E8090"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15 (13.4)</w:t>
            </w:r>
          </w:p>
        </w:tc>
        <w:tc>
          <w:tcPr>
            <w:tcW w:w="680" w:type="dxa"/>
            <w:gridSpan w:val="2"/>
            <w:shd w:val="clear" w:color="auto" w:fill="auto"/>
            <w:noWrap/>
            <w:vAlign w:val="center"/>
            <w:hideMark/>
          </w:tcPr>
          <w:p w14:paraId="6FA6FEA2"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74838363"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74545496"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623E06C9"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1516E8DD" w14:textId="77777777" w:rsidTr="006C2554">
        <w:trPr>
          <w:trHeight w:val="187"/>
        </w:trPr>
        <w:tc>
          <w:tcPr>
            <w:tcW w:w="3330" w:type="dxa"/>
            <w:shd w:val="clear" w:color="auto" w:fill="auto"/>
            <w:noWrap/>
            <w:vAlign w:val="center"/>
            <w:hideMark/>
          </w:tcPr>
          <w:p w14:paraId="44107CB2"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 xml:space="preserve">Comorbidities </w:t>
            </w:r>
          </w:p>
        </w:tc>
        <w:tc>
          <w:tcPr>
            <w:tcW w:w="1128" w:type="dxa"/>
            <w:shd w:val="clear" w:color="auto" w:fill="auto"/>
            <w:noWrap/>
            <w:vAlign w:val="center"/>
            <w:hideMark/>
          </w:tcPr>
          <w:p w14:paraId="478C84DE"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74D21389"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3A445546"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6A88247C"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03ECA2E2"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283178EB"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0CF8876C"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356FE89E"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213BB996"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0B4B6E36"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67CFC25D"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8606532"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2FFA327A" w14:textId="77777777" w:rsidTr="006C2554">
        <w:trPr>
          <w:trHeight w:val="137"/>
        </w:trPr>
        <w:tc>
          <w:tcPr>
            <w:tcW w:w="3330" w:type="dxa"/>
            <w:shd w:val="clear" w:color="auto" w:fill="auto"/>
            <w:noWrap/>
            <w:vAlign w:val="center"/>
            <w:hideMark/>
          </w:tcPr>
          <w:p w14:paraId="2AF01484"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574FE890"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118 (51.3)</w:t>
            </w:r>
          </w:p>
        </w:tc>
        <w:tc>
          <w:tcPr>
            <w:tcW w:w="1018" w:type="dxa"/>
            <w:gridSpan w:val="2"/>
            <w:shd w:val="clear" w:color="auto" w:fill="auto"/>
            <w:noWrap/>
            <w:vAlign w:val="center"/>
            <w:hideMark/>
          </w:tcPr>
          <w:p w14:paraId="2F99C9A2"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112 (48.7)</w:t>
            </w:r>
          </w:p>
        </w:tc>
        <w:tc>
          <w:tcPr>
            <w:tcW w:w="746" w:type="dxa"/>
            <w:gridSpan w:val="2"/>
            <w:shd w:val="clear" w:color="auto" w:fill="auto"/>
            <w:noWrap/>
            <w:vAlign w:val="center"/>
            <w:hideMark/>
          </w:tcPr>
          <w:p w14:paraId="39D92637"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0.056</w:t>
            </w:r>
          </w:p>
        </w:tc>
        <w:tc>
          <w:tcPr>
            <w:tcW w:w="634" w:type="dxa"/>
            <w:gridSpan w:val="2"/>
            <w:shd w:val="clear" w:color="auto" w:fill="auto"/>
            <w:vAlign w:val="center"/>
            <w:hideMark/>
          </w:tcPr>
          <w:p w14:paraId="5A9BE81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2.213</w:t>
            </w:r>
          </w:p>
        </w:tc>
        <w:tc>
          <w:tcPr>
            <w:tcW w:w="751" w:type="dxa"/>
            <w:gridSpan w:val="2"/>
            <w:shd w:val="clear" w:color="auto" w:fill="auto"/>
            <w:vAlign w:val="center"/>
            <w:hideMark/>
          </w:tcPr>
          <w:p w14:paraId="2A22B71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0.998</w:t>
            </w:r>
          </w:p>
        </w:tc>
        <w:tc>
          <w:tcPr>
            <w:tcW w:w="752" w:type="dxa"/>
            <w:gridSpan w:val="3"/>
            <w:shd w:val="clear" w:color="auto" w:fill="auto"/>
            <w:vAlign w:val="center"/>
            <w:hideMark/>
          </w:tcPr>
          <w:p w14:paraId="10D6717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4.905</w:t>
            </w:r>
          </w:p>
        </w:tc>
        <w:tc>
          <w:tcPr>
            <w:tcW w:w="1123" w:type="dxa"/>
            <w:gridSpan w:val="2"/>
            <w:shd w:val="clear" w:color="auto" w:fill="auto"/>
            <w:noWrap/>
            <w:vAlign w:val="center"/>
            <w:hideMark/>
          </w:tcPr>
          <w:p w14:paraId="0DCC2ECA"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187 (81.3)</w:t>
            </w:r>
          </w:p>
        </w:tc>
        <w:tc>
          <w:tcPr>
            <w:tcW w:w="1005" w:type="dxa"/>
            <w:gridSpan w:val="2"/>
            <w:shd w:val="clear" w:color="auto" w:fill="auto"/>
            <w:noWrap/>
            <w:vAlign w:val="center"/>
            <w:hideMark/>
          </w:tcPr>
          <w:p w14:paraId="6D2BAA3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43 (18.7)</w:t>
            </w:r>
          </w:p>
        </w:tc>
        <w:tc>
          <w:tcPr>
            <w:tcW w:w="680" w:type="dxa"/>
            <w:gridSpan w:val="2"/>
            <w:shd w:val="clear" w:color="auto" w:fill="auto"/>
            <w:noWrap/>
            <w:vAlign w:val="center"/>
            <w:hideMark/>
          </w:tcPr>
          <w:p w14:paraId="3F2DC79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0.002</w:t>
            </w:r>
          </w:p>
        </w:tc>
        <w:tc>
          <w:tcPr>
            <w:tcW w:w="872" w:type="dxa"/>
            <w:gridSpan w:val="2"/>
            <w:shd w:val="clear" w:color="auto" w:fill="auto"/>
            <w:vAlign w:val="center"/>
            <w:hideMark/>
          </w:tcPr>
          <w:p w14:paraId="5A4F9E6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3.581</w:t>
            </w:r>
          </w:p>
        </w:tc>
        <w:tc>
          <w:tcPr>
            <w:tcW w:w="937" w:type="dxa"/>
            <w:gridSpan w:val="2"/>
            <w:shd w:val="clear" w:color="auto" w:fill="auto"/>
            <w:vAlign w:val="center"/>
            <w:hideMark/>
          </w:tcPr>
          <w:p w14:paraId="3B7C195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1.64</w:t>
            </w:r>
          </w:p>
        </w:tc>
        <w:tc>
          <w:tcPr>
            <w:tcW w:w="941" w:type="dxa"/>
            <w:gridSpan w:val="2"/>
            <w:shd w:val="clear" w:color="auto" w:fill="auto"/>
            <w:vAlign w:val="center"/>
            <w:hideMark/>
          </w:tcPr>
          <w:p w14:paraId="22E46B6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7.822</w:t>
            </w:r>
          </w:p>
        </w:tc>
      </w:tr>
      <w:tr w:rsidR="006C2554" w:rsidRPr="006C2554" w14:paraId="53F5FDAE" w14:textId="77777777" w:rsidTr="006C2554">
        <w:trPr>
          <w:trHeight w:val="216"/>
        </w:trPr>
        <w:tc>
          <w:tcPr>
            <w:tcW w:w="3330" w:type="dxa"/>
            <w:shd w:val="clear" w:color="auto" w:fill="auto"/>
            <w:noWrap/>
            <w:vAlign w:val="center"/>
            <w:hideMark/>
          </w:tcPr>
          <w:p w14:paraId="2C6F5228"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45AF8838"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 (32.3)</w:t>
            </w:r>
          </w:p>
        </w:tc>
        <w:tc>
          <w:tcPr>
            <w:tcW w:w="1018" w:type="dxa"/>
            <w:gridSpan w:val="2"/>
            <w:shd w:val="clear" w:color="auto" w:fill="auto"/>
            <w:noWrap/>
            <w:vAlign w:val="center"/>
            <w:hideMark/>
          </w:tcPr>
          <w:p w14:paraId="7A09B551"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21 (67.7)</w:t>
            </w:r>
          </w:p>
        </w:tc>
        <w:tc>
          <w:tcPr>
            <w:tcW w:w="746" w:type="dxa"/>
            <w:gridSpan w:val="2"/>
            <w:shd w:val="clear" w:color="auto" w:fill="auto"/>
            <w:noWrap/>
            <w:vAlign w:val="center"/>
            <w:hideMark/>
          </w:tcPr>
          <w:p w14:paraId="617DD09F"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32B948B1"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09267B7B"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245BD49C"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71F81D9D"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17 (54.8)</w:t>
            </w:r>
          </w:p>
        </w:tc>
        <w:tc>
          <w:tcPr>
            <w:tcW w:w="1005" w:type="dxa"/>
            <w:gridSpan w:val="2"/>
            <w:shd w:val="clear" w:color="auto" w:fill="auto"/>
            <w:noWrap/>
            <w:vAlign w:val="center"/>
            <w:hideMark/>
          </w:tcPr>
          <w:p w14:paraId="56951209"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14 (45.2)</w:t>
            </w:r>
          </w:p>
        </w:tc>
        <w:tc>
          <w:tcPr>
            <w:tcW w:w="680" w:type="dxa"/>
            <w:gridSpan w:val="2"/>
            <w:shd w:val="clear" w:color="auto" w:fill="auto"/>
            <w:noWrap/>
            <w:vAlign w:val="center"/>
            <w:hideMark/>
          </w:tcPr>
          <w:p w14:paraId="2FE1C2CE"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02FB2305"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777B238C"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4A0F9C8F"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3D6FB843" w14:textId="77777777" w:rsidTr="006C2554">
        <w:trPr>
          <w:trHeight w:val="216"/>
        </w:trPr>
        <w:tc>
          <w:tcPr>
            <w:tcW w:w="3330" w:type="dxa"/>
            <w:shd w:val="clear" w:color="auto" w:fill="auto"/>
            <w:noWrap/>
            <w:vAlign w:val="center"/>
            <w:hideMark/>
          </w:tcPr>
          <w:p w14:paraId="1F11CCFC"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History of allergic reactions</w:t>
            </w:r>
          </w:p>
        </w:tc>
        <w:tc>
          <w:tcPr>
            <w:tcW w:w="1128" w:type="dxa"/>
            <w:shd w:val="clear" w:color="auto" w:fill="auto"/>
            <w:noWrap/>
            <w:vAlign w:val="center"/>
            <w:hideMark/>
          </w:tcPr>
          <w:p w14:paraId="08F1B20C"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3B482950"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5A65A951"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091D7EAB"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4B910B5C"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166DACD4"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088C03C8"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7E79BD0F"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1F56EB80"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64955B80"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50E41AB6"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59E19075"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03804603" w14:textId="77777777" w:rsidTr="006C2554">
        <w:trPr>
          <w:trHeight w:val="216"/>
        </w:trPr>
        <w:tc>
          <w:tcPr>
            <w:tcW w:w="3330" w:type="dxa"/>
            <w:shd w:val="clear" w:color="auto" w:fill="auto"/>
            <w:noWrap/>
            <w:vAlign w:val="center"/>
            <w:hideMark/>
          </w:tcPr>
          <w:p w14:paraId="01FCC16E"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58953954"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118 (51.5)</w:t>
            </w:r>
          </w:p>
        </w:tc>
        <w:tc>
          <w:tcPr>
            <w:tcW w:w="1018" w:type="dxa"/>
            <w:gridSpan w:val="2"/>
            <w:shd w:val="clear" w:color="auto" w:fill="auto"/>
            <w:noWrap/>
            <w:vAlign w:val="center"/>
            <w:hideMark/>
          </w:tcPr>
          <w:p w14:paraId="6FC5375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111 (48.5)</w:t>
            </w:r>
          </w:p>
        </w:tc>
        <w:tc>
          <w:tcPr>
            <w:tcW w:w="746" w:type="dxa"/>
            <w:gridSpan w:val="2"/>
            <w:shd w:val="clear" w:color="auto" w:fill="auto"/>
            <w:noWrap/>
            <w:vAlign w:val="center"/>
            <w:hideMark/>
          </w:tcPr>
          <w:p w14:paraId="7BE8DDB1"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0.038</w:t>
            </w:r>
          </w:p>
        </w:tc>
        <w:tc>
          <w:tcPr>
            <w:tcW w:w="634" w:type="dxa"/>
            <w:gridSpan w:val="2"/>
            <w:shd w:val="clear" w:color="auto" w:fill="auto"/>
            <w:vAlign w:val="center"/>
            <w:hideMark/>
          </w:tcPr>
          <w:p w14:paraId="2F8DCE7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2.339</w:t>
            </w:r>
          </w:p>
        </w:tc>
        <w:tc>
          <w:tcPr>
            <w:tcW w:w="751" w:type="dxa"/>
            <w:gridSpan w:val="2"/>
            <w:shd w:val="clear" w:color="auto" w:fill="auto"/>
            <w:vAlign w:val="center"/>
            <w:hideMark/>
          </w:tcPr>
          <w:p w14:paraId="6E361B6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1.06</w:t>
            </w:r>
          </w:p>
        </w:tc>
        <w:tc>
          <w:tcPr>
            <w:tcW w:w="752" w:type="dxa"/>
            <w:gridSpan w:val="3"/>
            <w:shd w:val="clear" w:color="auto" w:fill="auto"/>
            <w:vAlign w:val="center"/>
            <w:hideMark/>
          </w:tcPr>
          <w:p w14:paraId="2CC6CB90"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5.159</w:t>
            </w:r>
          </w:p>
        </w:tc>
        <w:tc>
          <w:tcPr>
            <w:tcW w:w="1123" w:type="dxa"/>
            <w:gridSpan w:val="2"/>
            <w:shd w:val="clear" w:color="auto" w:fill="auto"/>
            <w:noWrap/>
            <w:vAlign w:val="center"/>
            <w:hideMark/>
          </w:tcPr>
          <w:p w14:paraId="617C182B"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184 (80.3)</w:t>
            </w:r>
          </w:p>
        </w:tc>
        <w:tc>
          <w:tcPr>
            <w:tcW w:w="1005" w:type="dxa"/>
            <w:gridSpan w:val="2"/>
            <w:shd w:val="clear" w:color="auto" w:fill="auto"/>
            <w:noWrap/>
            <w:vAlign w:val="center"/>
            <w:hideMark/>
          </w:tcPr>
          <w:p w14:paraId="70B8270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45 (19.7)</w:t>
            </w:r>
          </w:p>
        </w:tc>
        <w:tc>
          <w:tcPr>
            <w:tcW w:w="680" w:type="dxa"/>
            <w:gridSpan w:val="2"/>
            <w:shd w:val="clear" w:color="auto" w:fill="auto"/>
            <w:noWrap/>
            <w:vAlign w:val="center"/>
            <w:hideMark/>
          </w:tcPr>
          <w:p w14:paraId="63BEFA1B"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0.037</w:t>
            </w:r>
          </w:p>
        </w:tc>
        <w:tc>
          <w:tcPr>
            <w:tcW w:w="872" w:type="dxa"/>
            <w:gridSpan w:val="2"/>
            <w:shd w:val="clear" w:color="auto" w:fill="auto"/>
            <w:vAlign w:val="center"/>
            <w:hideMark/>
          </w:tcPr>
          <w:p w14:paraId="308DDCA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2.453</w:t>
            </w:r>
          </w:p>
        </w:tc>
        <w:tc>
          <w:tcPr>
            <w:tcW w:w="937" w:type="dxa"/>
            <w:gridSpan w:val="2"/>
            <w:shd w:val="clear" w:color="auto" w:fill="auto"/>
            <w:vAlign w:val="center"/>
            <w:hideMark/>
          </w:tcPr>
          <w:p w14:paraId="4D572D17"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1.117</w:t>
            </w:r>
          </w:p>
        </w:tc>
        <w:tc>
          <w:tcPr>
            <w:tcW w:w="941" w:type="dxa"/>
            <w:gridSpan w:val="2"/>
            <w:shd w:val="clear" w:color="auto" w:fill="auto"/>
            <w:vAlign w:val="center"/>
            <w:hideMark/>
          </w:tcPr>
          <w:p w14:paraId="2469A23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5.386</w:t>
            </w:r>
          </w:p>
        </w:tc>
      </w:tr>
      <w:tr w:rsidR="006C2554" w:rsidRPr="006C2554" w14:paraId="0C8F2D90" w14:textId="77777777" w:rsidTr="006C2554">
        <w:trPr>
          <w:trHeight w:val="132"/>
        </w:trPr>
        <w:tc>
          <w:tcPr>
            <w:tcW w:w="3330" w:type="dxa"/>
            <w:shd w:val="clear" w:color="auto" w:fill="auto"/>
            <w:noWrap/>
            <w:vAlign w:val="center"/>
            <w:hideMark/>
          </w:tcPr>
          <w:p w14:paraId="6B0A9F81"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1195FD78"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 (31.3)</w:t>
            </w:r>
          </w:p>
        </w:tc>
        <w:tc>
          <w:tcPr>
            <w:tcW w:w="1018" w:type="dxa"/>
            <w:gridSpan w:val="2"/>
            <w:shd w:val="clear" w:color="auto" w:fill="auto"/>
            <w:noWrap/>
            <w:vAlign w:val="center"/>
            <w:hideMark/>
          </w:tcPr>
          <w:p w14:paraId="4229A3C2"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22 (68.8)</w:t>
            </w:r>
          </w:p>
        </w:tc>
        <w:tc>
          <w:tcPr>
            <w:tcW w:w="746" w:type="dxa"/>
            <w:gridSpan w:val="2"/>
            <w:shd w:val="clear" w:color="auto" w:fill="auto"/>
            <w:noWrap/>
            <w:vAlign w:val="center"/>
            <w:hideMark/>
          </w:tcPr>
          <w:p w14:paraId="527C2809"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0018C3F4"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51222395"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25BBF0F6"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3617C8B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20 (62.5)</w:t>
            </w:r>
          </w:p>
        </w:tc>
        <w:tc>
          <w:tcPr>
            <w:tcW w:w="1005" w:type="dxa"/>
            <w:gridSpan w:val="2"/>
            <w:shd w:val="clear" w:color="auto" w:fill="auto"/>
            <w:noWrap/>
            <w:vAlign w:val="center"/>
            <w:hideMark/>
          </w:tcPr>
          <w:p w14:paraId="497BC290"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12 (37.5)</w:t>
            </w:r>
          </w:p>
        </w:tc>
        <w:tc>
          <w:tcPr>
            <w:tcW w:w="680" w:type="dxa"/>
            <w:gridSpan w:val="2"/>
            <w:shd w:val="clear" w:color="auto" w:fill="auto"/>
            <w:noWrap/>
            <w:vAlign w:val="center"/>
            <w:hideMark/>
          </w:tcPr>
          <w:p w14:paraId="2BE3DCFD"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5FA1A51C"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5747FCC9"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7FB98E25"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35504A9A" w14:textId="77777777" w:rsidTr="006C2554">
        <w:trPr>
          <w:gridAfter w:val="1"/>
          <w:wAfter w:w="20" w:type="dxa"/>
          <w:trHeight w:val="216"/>
        </w:trPr>
        <w:tc>
          <w:tcPr>
            <w:tcW w:w="5458" w:type="dxa"/>
            <w:gridSpan w:val="3"/>
            <w:shd w:val="clear" w:color="auto" w:fill="auto"/>
            <w:noWrap/>
            <w:vAlign w:val="center"/>
            <w:hideMark/>
          </w:tcPr>
          <w:p w14:paraId="6BD39433" w14:textId="77777777" w:rsidR="006C2554" w:rsidRPr="006C2554" w:rsidRDefault="006C2554" w:rsidP="00D43ECF">
            <w:pPr>
              <w:spacing w:after="0" w:line="334" w:lineRule="auto"/>
              <w:contextualSpacing/>
              <w:rPr>
                <w:rFonts w:ascii="Arial" w:hAnsi="Arial" w:cs="Arial"/>
                <w:sz w:val="16"/>
                <w:szCs w:val="16"/>
              </w:rPr>
            </w:pPr>
            <w:r w:rsidRPr="006C2554">
              <w:rPr>
                <w:rFonts w:ascii="Arial" w:hAnsi="Arial" w:cs="Arial"/>
                <w:b/>
                <w:bCs/>
                <w:color w:val="000000"/>
                <w:sz w:val="16"/>
                <w:szCs w:val="16"/>
              </w:rPr>
              <w:t>Acute infection/hospitalization in the last 3 months</w:t>
            </w:r>
          </w:p>
        </w:tc>
        <w:tc>
          <w:tcPr>
            <w:tcW w:w="746" w:type="dxa"/>
            <w:gridSpan w:val="2"/>
            <w:shd w:val="clear" w:color="auto" w:fill="auto"/>
            <w:noWrap/>
            <w:vAlign w:val="center"/>
            <w:hideMark/>
          </w:tcPr>
          <w:p w14:paraId="2EE94CC8"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47336FFE"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1B5C4D39"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3"/>
            <w:shd w:val="clear" w:color="auto" w:fill="auto"/>
            <w:noWrap/>
            <w:vAlign w:val="center"/>
            <w:hideMark/>
          </w:tcPr>
          <w:p w14:paraId="3F0B5767"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3124E023"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6EB770C2"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0E6DBEB6"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233A05E4"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400B108" w14:textId="77777777" w:rsidR="006C2554" w:rsidRPr="006C2554" w:rsidRDefault="006C2554" w:rsidP="00D43ECF">
            <w:pPr>
              <w:spacing w:after="0" w:line="334" w:lineRule="auto"/>
              <w:contextualSpacing/>
              <w:jc w:val="center"/>
              <w:rPr>
                <w:rFonts w:ascii="Arial" w:hAnsi="Arial" w:cs="Arial"/>
                <w:sz w:val="16"/>
                <w:szCs w:val="16"/>
              </w:rPr>
            </w:pPr>
          </w:p>
        </w:tc>
        <w:tc>
          <w:tcPr>
            <w:tcW w:w="940" w:type="dxa"/>
            <w:gridSpan w:val="2"/>
            <w:shd w:val="clear" w:color="auto" w:fill="auto"/>
            <w:noWrap/>
            <w:vAlign w:val="center"/>
            <w:hideMark/>
          </w:tcPr>
          <w:p w14:paraId="29943209"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537EE222" w14:textId="77777777" w:rsidTr="006C2554">
        <w:trPr>
          <w:trHeight w:val="216"/>
        </w:trPr>
        <w:tc>
          <w:tcPr>
            <w:tcW w:w="3330" w:type="dxa"/>
            <w:shd w:val="clear" w:color="auto" w:fill="auto"/>
            <w:noWrap/>
            <w:vAlign w:val="center"/>
            <w:hideMark/>
          </w:tcPr>
          <w:p w14:paraId="644ACCC9"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249F28D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125 (50.4)</w:t>
            </w:r>
          </w:p>
        </w:tc>
        <w:tc>
          <w:tcPr>
            <w:tcW w:w="1018" w:type="dxa"/>
            <w:gridSpan w:val="2"/>
            <w:shd w:val="clear" w:color="auto" w:fill="auto"/>
            <w:noWrap/>
            <w:vAlign w:val="center"/>
            <w:hideMark/>
          </w:tcPr>
          <w:p w14:paraId="08EF8B11"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123 (49.6)</w:t>
            </w:r>
          </w:p>
        </w:tc>
        <w:tc>
          <w:tcPr>
            <w:tcW w:w="746" w:type="dxa"/>
            <w:gridSpan w:val="2"/>
            <w:shd w:val="clear" w:color="auto" w:fill="auto"/>
            <w:noWrap/>
            <w:vAlign w:val="center"/>
            <w:hideMark/>
          </w:tcPr>
          <w:p w14:paraId="68B6CA6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0.085</w:t>
            </w:r>
          </w:p>
        </w:tc>
        <w:tc>
          <w:tcPr>
            <w:tcW w:w="634" w:type="dxa"/>
            <w:gridSpan w:val="2"/>
            <w:shd w:val="clear" w:color="auto" w:fill="auto"/>
            <w:vAlign w:val="center"/>
            <w:hideMark/>
          </w:tcPr>
          <w:p w14:paraId="47802A09"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3.388</w:t>
            </w:r>
          </w:p>
        </w:tc>
        <w:tc>
          <w:tcPr>
            <w:tcW w:w="751" w:type="dxa"/>
            <w:gridSpan w:val="2"/>
            <w:shd w:val="clear" w:color="auto" w:fill="auto"/>
            <w:vAlign w:val="center"/>
            <w:hideMark/>
          </w:tcPr>
          <w:p w14:paraId="1AD979D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0.91</w:t>
            </w:r>
          </w:p>
        </w:tc>
        <w:tc>
          <w:tcPr>
            <w:tcW w:w="752" w:type="dxa"/>
            <w:gridSpan w:val="3"/>
            <w:shd w:val="clear" w:color="auto" w:fill="auto"/>
            <w:vAlign w:val="center"/>
            <w:hideMark/>
          </w:tcPr>
          <w:p w14:paraId="24239CB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12.605</w:t>
            </w:r>
          </w:p>
        </w:tc>
        <w:tc>
          <w:tcPr>
            <w:tcW w:w="1123" w:type="dxa"/>
            <w:gridSpan w:val="2"/>
            <w:shd w:val="clear" w:color="auto" w:fill="auto"/>
            <w:noWrap/>
            <w:vAlign w:val="center"/>
            <w:hideMark/>
          </w:tcPr>
          <w:p w14:paraId="053F3AF9"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197 (79.4)</w:t>
            </w:r>
          </w:p>
        </w:tc>
        <w:tc>
          <w:tcPr>
            <w:tcW w:w="1005" w:type="dxa"/>
            <w:gridSpan w:val="2"/>
            <w:shd w:val="clear" w:color="auto" w:fill="auto"/>
            <w:noWrap/>
            <w:vAlign w:val="center"/>
            <w:hideMark/>
          </w:tcPr>
          <w:p w14:paraId="65C621EB"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51 (20.6)</w:t>
            </w:r>
          </w:p>
        </w:tc>
        <w:tc>
          <w:tcPr>
            <w:tcW w:w="680" w:type="dxa"/>
            <w:gridSpan w:val="2"/>
            <w:shd w:val="clear" w:color="auto" w:fill="auto"/>
            <w:noWrap/>
            <w:vAlign w:val="center"/>
            <w:hideMark/>
          </w:tcPr>
          <w:p w14:paraId="7D102ECD"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0.041</w:t>
            </w:r>
          </w:p>
        </w:tc>
        <w:tc>
          <w:tcPr>
            <w:tcW w:w="872" w:type="dxa"/>
            <w:gridSpan w:val="2"/>
            <w:shd w:val="clear" w:color="auto" w:fill="auto"/>
            <w:vAlign w:val="center"/>
            <w:hideMark/>
          </w:tcPr>
          <w:p w14:paraId="70E0670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3.311</w:t>
            </w:r>
          </w:p>
        </w:tc>
        <w:tc>
          <w:tcPr>
            <w:tcW w:w="937" w:type="dxa"/>
            <w:gridSpan w:val="2"/>
            <w:shd w:val="clear" w:color="auto" w:fill="auto"/>
            <w:vAlign w:val="center"/>
            <w:hideMark/>
          </w:tcPr>
          <w:p w14:paraId="6BDD81C9"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1.066</w:t>
            </w:r>
          </w:p>
        </w:tc>
        <w:tc>
          <w:tcPr>
            <w:tcW w:w="941" w:type="dxa"/>
            <w:gridSpan w:val="2"/>
            <w:shd w:val="clear" w:color="auto" w:fill="auto"/>
            <w:vAlign w:val="center"/>
            <w:hideMark/>
          </w:tcPr>
          <w:p w14:paraId="2BC8DAC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10.281</w:t>
            </w:r>
          </w:p>
        </w:tc>
      </w:tr>
      <w:tr w:rsidR="006C2554" w:rsidRPr="006C2554" w14:paraId="23632F91" w14:textId="77777777" w:rsidTr="006C2554">
        <w:trPr>
          <w:trHeight w:val="132"/>
        </w:trPr>
        <w:tc>
          <w:tcPr>
            <w:tcW w:w="3330" w:type="dxa"/>
            <w:shd w:val="clear" w:color="auto" w:fill="auto"/>
            <w:noWrap/>
            <w:vAlign w:val="center"/>
            <w:hideMark/>
          </w:tcPr>
          <w:p w14:paraId="45B60F43"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7474602B"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 (23.1)</w:t>
            </w:r>
          </w:p>
        </w:tc>
        <w:tc>
          <w:tcPr>
            <w:tcW w:w="1018" w:type="dxa"/>
            <w:gridSpan w:val="2"/>
            <w:shd w:val="clear" w:color="auto" w:fill="auto"/>
            <w:noWrap/>
            <w:vAlign w:val="center"/>
            <w:hideMark/>
          </w:tcPr>
          <w:p w14:paraId="2F9A41DD"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 (76.9)</w:t>
            </w:r>
          </w:p>
        </w:tc>
        <w:tc>
          <w:tcPr>
            <w:tcW w:w="746" w:type="dxa"/>
            <w:gridSpan w:val="2"/>
            <w:shd w:val="clear" w:color="auto" w:fill="auto"/>
            <w:noWrap/>
            <w:vAlign w:val="center"/>
            <w:hideMark/>
          </w:tcPr>
          <w:p w14:paraId="4BDD9905"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0F443793"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4714C550"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02E26FC6"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43E6AD0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7 (53.8)</w:t>
            </w:r>
          </w:p>
        </w:tc>
        <w:tc>
          <w:tcPr>
            <w:tcW w:w="1005" w:type="dxa"/>
            <w:gridSpan w:val="2"/>
            <w:shd w:val="clear" w:color="auto" w:fill="auto"/>
            <w:noWrap/>
            <w:vAlign w:val="center"/>
            <w:hideMark/>
          </w:tcPr>
          <w:p w14:paraId="03881AC5"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6 (46.2)</w:t>
            </w:r>
          </w:p>
        </w:tc>
        <w:tc>
          <w:tcPr>
            <w:tcW w:w="680" w:type="dxa"/>
            <w:gridSpan w:val="2"/>
            <w:shd w:val="clear" w:color="auto" w:fill="auto"/>
            <w:noWrap/>
            <w:vAlign w:val="center"/>
            <w:hideMark/>
          </w:tcPr>
          <w:p w14:paraId="1777B768"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66C3E154"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3A83779"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6764DC45"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7B4F7D86" w14:textId="77777777" w:rsidTr="006C2554">
        <w:trPr>
          <w:gridAfter w:val="1"/>
          <w:wAfter w:w="20" w:type="dxa"/>
          <w:trHeight w:val="216"/>
        </w:trPr>
        <w:tc>
          <w:tcPr>
            <w:tcW w:w="5458" w:type="dxa"/>
            <w:gridSpan w:val="3"/>
            <w:shd w:val="clear" w:color="auto" w:fill="auto"/>
            <w:noWrap/>
            <w:vAlign w:val="center"/>
            <w:hideMark/>
          </w:tcPr>
          <w:p w14:paraId="2F2481C1" w14:textId="77777777" w:rsidR="006C2554" w:rsidRPr="006C2554" w:rsidRDefault="006C2554" w:rsidP="00D43ECF">
            <w:pPr>
              <w:spacing w:after="0" w:line="334" w:lineRule="auto"/>
              <w:contextualSpacing/>
              <w:rPr>
                <w:rFonts w:ascii="Arial" w:hAnsi="Arial" w:cs="Arial"/>
                <w:sz w:val="16"/>
                <w:szCs w:val="16"/>
              </w:rPr>
            </w:pPr>
            <w:r w:rsidRPr="006C2554">
              <w:rPr>
                <w:rFonts w:ascii="Arial" w:hAnsi="Arial" w:cs="Arial"/>
                <w:b/>
                <w:bCs/>
                <w:color w:val="000000"/>
                <w:sz w:val="16"/>
                <w:szCs w:val="16"/>
              </w:rPr>
              <w:t xml:space="preserve">History of medication in the last 6 months </w:t>
            </w:r>
          </w:p>
        </w:tc>
        <w:tc>
          <w:tcPr>
            <w:tcW w:w="746" w:type="dxa"/>
            <w:gridSpan w:val="2"/>
            <w:shd w:val="clear" w:color="auto" w:fill="auto"/>
            <w:noWrap/>
            <w:vAlign w:val="center"/>
            <w:hideMark/>
          </w:tcPr>
          <w:p w14:paraId="269285CF"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5E240E9E"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2851BAFC"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3"/>
            <w:shd w:val="clear" w:color="auto" w:fill="auto"/>
            <w:noWrap/>
            <w:vAlign w:val="center"/>
            <w:hideMark/>
          </w:tcPr>
          <w:p w14:paraId="627F2B7D"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43B4415D"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753C5649"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26C735FE"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436F1456"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176BF086" w14:textId="77777777" w:rsidR="006C2554" w:rsidRPr="006C2554" w:rsidRDefault="006C2554" w:rsidP="00D43ECF">
            <w:pPr>
              <w:spacing w:after="0" w:line="334" w:lineRule="auto"/>
              <w:contextualSpacing/>
              <w:jc w:val="center"/>
              <w:rPr>
                <w:rFonts w:ascii="Arial" w:hAnsi="Arial" w:cs="Arial"/>
                <w:sz w:val="16"/>
                <w:szCs w:val="16"/>
              </w:rPr>
            </w:pPr>
          </w:p>
        </w:tc>
        <w:tc>
          <w:tcPr>
            <w:tcW w:w="940" w:type="dxa"/>
            <w:gridSpan w:val="2"/>
            <w:shd w:val="clear" w:color="auto" w:fill="auto"/>
            <w:noWrap/>
            <w:vAlign w:val="center"/>
            <w:hideMark/>
          </w:tcPr>
          <w:p w14:paraId="22F710E2"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0C065CD9" w14:textId="77777777" w:rsidTr="006C2554">
        <w:trPr>
          <w:trHeight w:val="216"/>
        </w:trPr>
        <w:tc>
          <w:tcPr>
            <w:tcW w:w="3330" w:type="dxa"/>
            <w:shd w:val="clear" w:color="auto" w:fill="auto"/>
            <w:noWrap/>
            <w:vAlign w:val="center"/>
            <w:hideMark/>
          </w:tcPr>
          <w:p w14:paraId="338F6C33"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2036B75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106 (51.2)</w:t>
            </w:r>
          </w:p>
        </w:tc>
        <w:tc>
          <w:tcPr>
            <w:tcW w:w="1018" w:type="dxa"/>
            <w:gridSpan w:val="2"/>
            <w:shd w:val="clear" w:color="auto" w:fill="auto"/>
            <w:noWrap/>
            <w:vAlign w:val="center"/>
            <w:hideMark/>
          </w:tcPr>
          <w:p w14:paraId="6E257EFE"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101 (48.8)</w:t>
            </w:r>
          </w:p>
        </w:tc>
        <w:tc>
          <w:tcPr>
            <w:tcW w:w="746" w:type="dxa"/>
            <w:gridSpan w:val="2"/>
            <w:shd w:val="clear" w:color="auto" w:fill="auto"/>
            <w:noWrap/>
            <w:vAlign w:val="center"/>
            <w:hideMark/>
          </w:tcPr>
          <w:p w14:paraId="2F85BB0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0.221</w:t>
            </w:r>
          </w:p>
        </w:tc>
        <w:tc>
          <w:tcPr>
            <w:tcW w:w="634" w:type="dxa"/>
            <w:gridSpan w:val="2"/>
            <w:shd w:val="clear" w:color="auto" w:fill="auto"/>
            <w:vAlign w:val="center"/>
            <w:hideMark/>
          </w:tcPr>
          <w:p w14:paraId="3865C767"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1.527</w:t>
            </w:r>
          </w:p>
        </w:tc>
        <w:tc>
          <w:tcPr>
            <w:tcW w:w="751" w:type="dxa"/>
            <w:gridSpan w:val="2"/>
            <w:shd w:val="clear" w:color="auto" w:fill="auto"/>
            <w:vAlign w:val="center"/>
            <w:hideMark/>
          </w:tcPr>
          <w:p w14:paraId="339F808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0.832</w:t>
            </w:r>
          </w:p>
        </w:tc>
        <w:tc>
          <w:tcPr>
            <w:tcW w:w="752" w:type="dxa"/>
            <w:gridSpan w:val="3"/>
            <w:shd w:val="clear" w:color="auto" w:fill="auto"/>
            <w:vAlign w:val="center"/>
            <w:hideMark/>
          </w:tcPr>
          <w:p w14:paraId="09137BA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2.802</w:t>
            </w:r>
          </w:p>
        </w:tc>
        <w:tc>
          <w:tcPr>
            <w:tcW w:w="1123" w:type="dxa"/>
            <w:gridSpan w:val="2"/>
            <w:shd w:val="clear" w:color="auto" w:fill="auto"/>
            <w:noWrap/>
            <w:vAlign w:val="center"/>
            <w:hideMark/>
          </w:tcPr>
          <w:p w14:paraId="4B7BE57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166 (80.2)</w:t>
            </w:r>
          </w:p>
        </w:tc>
        <w:tc>
          <w:tcPr>
            <w:tcW w:w="1005" w:type="dxa"/>
            <w:gridSpan w:val="2"/>
            <w:shd w:val="clear" w:color="auto" w:fill="auto"/>
            <w:noWrap/>
            <w:vAlign w:val="center"/>
            <w:hideMark/>
          </w:tcPr>
          <w:p w14:paraId="6B1E4B8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41 (19.8)</w:t>
            </w:r>
          </w:p>
        </w:tc>
        <w:tc>
          <w:tcPr>
            <w:tcW w:w="680" w:type="dxa"/>
            <w:gridSpan w:val="2"/>
            <w:shd w:val="clear" w:color="auto" w:fill="auto"/>
            <w:noWrap/>
            <w:vAlign w:val="center"/>
            <w:hideMark/>
          </w:tcPr>
          <w:p w14:paraId="0445A48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0.139</w:t>
            </w:r>
          </w:p>
        </w:tc>
        <w:tc>
          <w:tcPr>
            <w:tcW w:w="872" w:type="dxa"/>
            <w:gridSpan w:val="2"/>
            <w:shd w:val="clear" w:color="auto" w:fill="auto"/>
            <w:vAlign w:val="center"/>
            <w:hideMark/>
          </w:tcPr>
          <w:p w14:paraId="7EC5F1B5"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1.705</w:t>
            </w:r>
          </w:p>
        </w:tc>
        <w:tc>
          <w:tcPr>
            <w:tcW w:w="937" w:type="dxa"/>
            <w:gridSpan w:val="2"/>
            <w:shd w:val="clear" w:color="auto" w:fill="auto"/>
            <w:vAlign w:val="center"/>
            <w:hideMark/>
          </w:tcPr>
          <w:p w14:paraId="0AD6BA12"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0.866</w:t>
            </w:r>
          </w:p>
        </w:tc>
        <w:tc>
          <w:tcPr>
            <w:tcW w:w="941" w:type="dxa"/>
            <w:gridSpan w:val="2"/>
            <w:shd w:val="clear" w:color="auto" w:fill="auto"/>
            <w:vAlign w:val="center"/>
            <w:hideMark/>
          </w:tcPr>
          <w:p w14:paraId="6AAD0E3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3.354</w:t>
            </w:r>
          </w:p>
        </w:tc>
      </w:tr>
      <w:tr w:rsidR="006C2554" w:rsidRPr="006C2554" w14:paraId="0D262564" w14:textId="77777777" w:rsidTr="006C2554">
        <w:trPr>
          <w:trHeight w:val="132"/>
        </w:trPr>
        <w:tc>
          <w:tcPr>
            <w:tcW w:w="3330" w:type="dxa"/>
            <w:shd w:val="clear" w:color="auto" w:fill="auto"/>
            <w:noWrap/>
            <w:vAlign w:val="center"/>
            <w:hideMark/>
          </w:tcPr>
          <w:p w14:paraId="6B24ABA6"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78D9EFB2"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22 (40.7)</w:t>
            </w:r>
          </w:p>
        </w:tc>
        <w:tc>
          <w:tcPr>
            <w:tcW w:w="1018" w:type="dxa"/>
            <w:gridSpan w:val="2"/>
            <w:shd w:val="clear" w:color="auto" w:fill="auto"/>
            <w:noWrap/>
            <w:vAlign w:val="center"/>
            <w:hideMark/>
          </w:tcPr>
          <w:p w14:paraId="5BCD6B2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32 (59.3)</w:t>
            </w:r>
          </w:p>
        </w:tc>
        <w:tc>
          <w:tcPr>
            <w:tcW w:w="746" w:type="dxa"/>
            <w:gridSpan w:val="2"/>
            <w:shd w:val="clear" w:color="auto" w:fill="auto"/>
            <w:noWrap/>
            <w:vAlign w:val="center"/>
            <w:hideMark/>
          </w:tcPr>
          <w:p w14:paraId="7295DD16"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634" w:type="dxa"/>
            <w:gridSpan w:val="2"/>
            <w:shd w:val="clear" w:color="auto" w:fill="auto"/>
            <w:noWrap/>
            <w:vAlign w:val="center"/>
            <w:hideMark/>
          </w:tcPr>
          <w:p w14:paraId="7A4F8E39"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59101D03"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5A35E31D"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6056C65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38 (70.4)</w:t>
            </w:r>
          </w:p>
        </w:tc>
        <w:tc>
          <w:tcPr>
            <w:tcW w:w="1005" w:type="dxa"/>
            <w:gridSpan w:val="2"/>
            <w:shd w:val="clear" w:color="auto" w:fill="auto"/>
            <w:noWrap/>
            <w:vAlign w:val="center"/>
            <w:hideMark/>
          </w:tcPr>
          <w:p w14:paraId="7C05077F"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16 (29.6)</w:t>
            </w:r>
          </w:p>
        </w:tc>
        <w:tc>
          <w:tcPr>
            <w:tcW w:w="680" w:type="dxa"/>
            <w:gridSpan w:val="2"/>
            <w:shd w:val="clear" w:color="auto" w:fill="auto"/>
            <w:noWrap/>
            <w:vAlign w:val="center"/>
            <w:hideMark/>
          </w:tcPr>
          <w:p w14:paraId="67FD7CEF" w14:textId="77777777" w:rsidR="006C2554" w:rsidRPr="006C2554" w:rsidRDefault="006C2554" w:rsidP="00D43ECF">
            <w:pPr>
              <w:spacing w:after="0" w:line="334" w:lineRule="auto"/>
              <w:contextualSpacing/>
              <w:jc w:val="center"/>
              <w:rPr>
                <w:rFonts w:ascii="Arial" w:hAnsi="Arial" w:cs="Arial"/>
                <w:color w:val="010205"/>
                <w:sz w:val="16"/>
                <w:szCs w:val="16"/>
              </w:rPr>
            </w:pPr>
          </w:p>
        </w:tc>
        <w:tc>
          <w:tcPr>
            <w:tcW w:w="872" w:type="dxa"/>
            <w:gridSpan w:val="2"/>
            <w:shd w:val="clear" w:color="auto" w:fill="auto"/>
            <w:noWrap/>
            <w:vAlign w:val="center"/>
            <w:hideMark/>
          </w:tcPr>
          <w:p w14:paraId="02AEC8F3"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065FC9E1"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23D067AD"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66193E92" w14:textId="77777777" w:rsidTr="006C2554">
        <w:trPr>
          <w:trHeight w:val="216"/>
        </w:trPr>
        <w:tc>
          <w:tcPr>
            <w:tcW w:w="3330" w:type="dxa"/>
            <w:shd w:val="clear" w:color="auto" w:fill="auto"/>
            <w:noWrap/>
            <w:vAlign w:val="center"/>
            <w:hideMark/>
          </w:tcPr>
          <w:p w14:paraId="0B7537D9" w14:textId="77777777" w:rsidR="006C2554" w:rsidRPr="006C2554" w:rsidRDefault="006C2554" w:rsidP="00D43ECF">
            <w:pPr>
              <w:spacing w:after="0" w:line="334" w:lineRule="auto"/>
              <w:contextualSpacing/>
              <w:rPr>
                <w:rFonts w:ascii="Arial" w:hAnsi="Arial" w:cs="Arial"/>
                <w:b/>
                <w:bCs/>
                <w:color w:val="000000"/>
                <w:sz w:val="16"/>
                <w:szCs w:val="16"/>
              </w:rPr>
            </w:pPr>
            <w:r w:rsidRPr="006C2554">
              <w:rPr>
                <w:rFonts w:ascii="Arial" w:hAnsi="Arial" w:cs="Arial"/>
                <w:b/>
                <w:bCs/>
                <w:color w:val="000000"/>
                <w:sz w:val="16"/>
                <w:szCs w:val="16"/>
              </w:rPr>
              <w:t>History of Covid-19</w:t>
            </w:r>
          </w:p>
        </w:tc>
        <w:tc>
          <w:tcPr>
            <w:tcW w:w="1128" w:type="dxa"/>
            <w:shd w:val="clear" w:color="auto" w:fill="auto"/>
            <w:noWrap/>
            <w:vAlign w:val="center"/>
            <w:hideMark/>
          </w:tcPr>
          <w:p w14:paraId="2AEC38BE" w14:textId="77777777" w:rsidR="006C2554" w:rsidRPr="006C2554" w:rsidRDefault="006C2554" w:rsidP="00D43ECF">
            <w:pPr>
              <w:spacing w:after="0" w:line="334" w:lineRule="auto"/>
              <w:contextualSpacing/>
              <w:rPr>
                <w:rFonts w:ascii="Arial" w:hAnsi="Arial" w:cs="Arial"/>
                <w:b/>
                <w:bCs/>
                <w:color w:val="000000"/>
                <w:sz w:val="16"/>
                <w:szCs w:val="16"/>
              </w:rPr>
            </w:pPr>
          </w:p>
        </w:tc>
        <w:tc>
          <w:tcPr>
            <w:tcW w:w="1018" w:type="dxa"/>
            <w:gridSpan w:val="2"/>
            <w:shd w:val="clear" w:color="auto" w:fill="auto"/>
            <w:noWrap/>
            <w:vAlign w:val="center"/>
            <w:hideMark/>
          </w:tcPr>
          <w:p w14:paraId="434995FF" w14:textId="77777777" w:rsidR="006C2554" w:rsidRPr="006C2554" w:rsidRDefault="006C2554" w:rsidP="00D43ECF">
            <w:pPr>
              <w:spacing w:after="0" w:line="334" w:lineRule="auto"/>
              <w:contextualSpacing/>
              <w:jc w:val="center"/>
              <w:rPr>
                <w:rFonts w:ascii="Arial" w:hAnsi="Arial" w:cs="Arial"/>
                <w:sz w:val="16"/>
                <w:szCs w:val="16"/>
              </w:rPr>
            </w:pPr>
          </w:p>
        </w:tc>
        <w:tc>
          <w:tcPr>
            <w:tcW w:w="746" w:type="dxa"/>
            <w:gridSpan w:val="2"/>
            <w:shd w:val="clear" w:color="auto" w:fill="auto"/>
            <w:noWrap/>
            <w:vAlign w:val="center"/>
            <w:hideMark/>
          </w:tcPr>
          <w:p w14:paraId="790C25F9" w14:textId="77777777" w:rsidR="006C2554" w:rsidRPr="006C2554" w:rsidRDefault="006C2554" w:rsidP="00D43ECF">
            <w:pPr>
              <w:spacing w:after="0" w:line="334" w:lineRule="auto"/>
              <w:contextualSpacing/>
              <w:jc w:val="center"/>
              <w:rPr>
                <w:rFonts w:ascii="Arial" w:hAnsi="Arial" w:cs="Arial"/>
                <w:sz w:val="16"/>
                <w:szCs w:val="16"/>
              </w:rPr>
            </w:pPr>
          </w:p>
        </w:tc>
        <w:tc>
          <w:tcPr>
            <w:tcW w:w="634" w:type="dxa"/>
            <w:gridSpan w:val="2"/>
            <w:shd w:val="clear" w:color="auto" w:fill="auto"/>
            <w:noWrap/>
            <w:vAlign w:val="center"/>
            <w:hideMark/>
          </w:tcPr>
          <w:p w14:paraId="6219AACE" w14:textId="77777777" w:rsidR="006C2554" w:rsidRPr="006C2554" w:rsidRDefault="006C2554" w:rsidP="00D43ECF">
            <w:pPr>
              <w:spacing w:after="0" w:line="334" w:lineRule="auto"/>
              <w:contextualSpacing/>
              <w:jc w:val="center"/>
              <w:rPr>
                <w:rFonts w:ascii="Arial" w:hAnsi="Arial" w:cs="Arial"/>
                <w:sz w:val="16"/>
                <w:szCs w:val="16"/>
              </w:rPr>
            </w:pPr>
          </w:p>
        </w:tc>
        <w:tc>
          <w:tcPr>
            <w:tcW w:w="751" w:type="dxa"/>
            <w:gridSpan w:val="2"/>
            <w:shd w:val="clear" w:color="auto" w:fill="auto"/>
            <w:noWrap/>
            <w:vAlign w:val="center"/>
            <w:hideMark/>
          </w:tcPr>
          <w:p w14:paraId="0DBA89AA" w14:textId="77777777" w:rsidR="006C2554" w:rsidRPr="006C2554" w:rsidRDefault="006C2554" w:rsidP="00D43ECF">
            <w:pPr>
              <w:spacing w:after="0" w:line="334" w:lineRule="auto"/>
              <w:contextualSpacing/>
              <w:jc w:val="center"/>
              <w:rPr>
                <w:rFonts w:ascii="Arial" w:hAnsi="Arial" w:cs="Arial"/>
                <w:sz w:val="16"/>
                <w:szCs w:val="16"/>
              </w:rPr>
            </w:pPr>
          </w:p>
        </w:tc>
        <w:tc>
          <w:tcPr>
            <w:tcW w:w="752" w:type="dxa"/>
            <w:gridSpan w:val="3"/>
            <w:shd w:val="clear" w:color="auto" w:fill="auto"/>
            <w:noWrap/>
            <w:vAlign w:val="center"/>
            <w:hideMark/>
          </w:tcPr>
          <w:p w14:paraId="483FF6A7" w14:textId="77777777" w:rsidR="006C2554" w:rsidRPr="006C2554" w:rsidRDefault="006C2554" w:rsidP="00D43ECF">
            <w:pPr>
              <w:spacing w:after="0" w:line="334" w:lineRule="auto"/>
              <w:contextualSpacing/>
              <w:jc w:val="center"/>
              <w:rPr>
                <w:rFonts w:ascii="Arial" w:hAnsi="Arial" w:cs="Arial"/>
                <w:sz w:val="16"/>
                <w:szCs w:val="16"/>
              </w:rPr>
            </w:pPr>
          </w:p>
        </w:tc>
        <w:tc>
          <w:tcPr>
            <w:tcW w:w="1123" w:type="dxa"/>
            <w:gridSpan w:val="2"/>
            <w:shd w:val="clear" w:color="auto" w:fill="auto"/>
            <w:noWrap/>
            <w:vAlign w:val="center"/>
            <w:hideMark/>
          </w:tcPr>
          <w:p w14:paraId="58E651D6" w14:textId="77777777" w:rsidR="006C2554" w:rsidRPr="006C2554" w:rsidRDefault="006C2554" w:rsidP="00D43ECF">
            <w:pPr>
              <w:spacing w:after="0" w:line="334" w:lineRule="auto"/>
              <w:contextualSpacing/>
              <w:jc w:val="center"/>
              <w:rPr>
                <w:rFonts w:ascii="Arial" w:hAnsi="Arial" w:cs="Arial"/>
                <w:sz w:val="16"/>
                <w:szCs w:val="16"/>
              </w:rPr>
            </w:pPr>
          </w:p>
        </w:tc>
        <w:tc>
          <w:tcPr>
            <w:tcW w:w="1005" w:type="dxa"/>
            <w:gridSpan w:val="2"/>
            <w:shd w:val="clear" w:color="auto" w:fill="auto"/>
            <w:noWrap/>
            <w:vAlign w:val="center"/>
            <w:hideMark/>
          </w:tcPr>
          <w:p w14:paraId="16DE7189" w14:textId="77777777" w:rsidR="006C2554" w:rsidRPr="006C2554" w:rsidRDefault="006C2554" w:rsidP="00D43ECF">
            <w:pPr>
              <w:spacing w:after="0" w:line="334" w:lineRule="auto"/>
              <w:contextualSpacing/>
              <w:jc w:val="center"/>
              <w:rPr>
                <w:rFonts w:ascii="Arial" w:hAnsi="Arial" w:cs="Arial"/>
                <w:sz w:val="16"/>
                <w:szCs w:val="16"/>
              </w:rPr>
            </w:pPr>
          </w:p>
        </w:tc>
        <w:tc>
          <w:tcPr>
            <w:tcW w:w="680" w:type="dxa"/>
            <w:gridSpan w:val="2"/>
            <w:shd w:val="clear" w:color="auto" w:fill="auto"/>
            <w:noWrap/>
            <w:vAlign w:val="center"/>
            <w:hideMark/>
          </w:tcPr>
          <w:p w14:paraId="6EB652BC" w14:textId="77777777" w:rsidR="006C2554" w:rsidRPr="006C2554" w:rsidRDefault="006C2554" w:rsidP="00D43ECF">
            <w:pPr>
              <w:spacing w:after="0" w:line="334" w:lineRule="auto"/>
              <w:contextualSpacing/>
              <w:jc w:val="center"/>
              <w:rPr>
                <w:rFonts w:ascii="Arial" w:hAnsi="Arial" w:cs="Arial"/>
                <w:sz w:val="16"/>
                <w:szCs w:val="16"/>
              </w:rPr>
            </w:pPr>
          </w:p>
        </w:tc>
        <w:tc>
          <w:tcPr>
            <w:tcW w:w="872" w:type="dxa"/>
            <w:gridSpan w:val="2"/>
            <w:shd w:val="clear" w:color="auto" w:fill="auto"/>
            <w:noWrap/>
            <w:vAlign w:val="center"/>
            <w:hideMark/>
          </w:tcPr>
          <w:p w14:paraId="6390D873" w14:textId="77777777" w:rsidR="006C2554" w:rsidRPr="006C2554" w:rsidRDefault="006C2554" w:rsidP="00D43ECF">
            <w:pPr>
              <w:spacing w:after="0" w:line="334" w:lineRule="auto"/>
              <w:contextualSpacing/>
              <w:jc w:val="center"/>
              <w:rPr>
                <w:rFonts w:ascii="Arial" w:hAnsi="Arial" w:cs="Arial"/>
                <w:sz w:val="16"/>
                <w:szCs w:val="16"/>
              </w:rPr>
            </w:pPr>
          </w:p>
        </w:tc>
        <w:tc>
          <w:tcPr>
            <w:tcW w:w="937" w:type="dxa"/>
            <w:gridSpan w:val="2"/>
            <w:shd w:val="clear" w:color="auto" w:fill="auto"/>
            <w:noWrap/>
            <w:vAlign w:val="center"/>
            <w:hideMark/>
          </w:tcPr>
          <w:p w14:paraId="46CCB22E" w14:textId="77777777" w:rsidR="006C2554" w:rsidRPr="006C2554" w:rsidRDefault="006C2554" w:rsidP="00D43ECF">
            <w:pPr>
              <w:spacing w:after="0" w:line="334" w:lineRule="auto"/>
              <w:contextualSpacing/>
              <w:jc w:val="center"/>
              <w:rPr>
                <w:rFonts w:ascii="Arial" w:hAnsi="Arial" w:cs="Arial"/>
                <w:sz w:val="16"/>
                <w:szCs w:val="16"/>
              </w:rPr>
            </w:pPr>
          </w:p>
        </w:tc>
        <w:tc>
          <w:tcPr>
            <w:tcW w:w="941" w:type="dxa"/>
            <w:gridSpan w:val="2"/>
            <w:shd w:val="clear" w:color="auto" w:fill="auto"/>
            <w:noWrap/>
            <w:vAlign w:val="center"/>
            <w:hideMark/>
          </w:tcPr>
          <w:p w14:paraId="35DC78F6" w14:textId="77777777" w:rsidR="006C2554" w:rsidRPr="006C2554" w:rsidRDefault="006C2554" w:rsidP="00D43ECF">
            <w:pPr>
              <w:spacing w:after="0" w:line="334" w:lineRule="auto"/>
              <w:contextualSpacing/>
              <w:jc w:val="center"/>
              <w:rPr>
                <w:rFonts w:ascii="Arial" w:hAnsi="Arial" w:cs="Arial"/>
                <w:sz w:val="16"/>
                <w:szCs w:val="16"/>
              </w:rPr>
            </w:pPr>
          </w:p>
        </w:tc>
      </w:tr>
      <w:tr w:rsidR="006C2554" w:rsidRPr="006C2554" w14:paraId="661BB89C" w14:textId="77777777" w:rsidTr="006C2554">
        <w:trPr>
          <w:trHeight w:val="132"/>
        </w:trPr>
        <w:tc>
          <w:tcPr>
            <w:tcW w:w="3330" w:type="dxa"/>
            <w:shd w:val="clear" w:color="auto" w:fill="auto"/>
            <w:noWrap/>
            <w:vAlign w:val="center"/>
            <w:hideMark/>
          </w:tcPr>
          <w:p w14:paraId="718252A2"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No</w:t>
            </w:r>
          </w:p>
        </w:tc>
        <w:tc>
          <w:tcPr>
            <w:tcW w:w="1128" w:type="dxa"/>
            <w:shd w:val="clear" w:color="auto" w:fill="auto"/>
            <w:noWrap/>
            <w:vAlign w:val="center"/>
            <w:hideMark/>
          </w:tcPr>
          <w:p w14:paraId="2FA90AC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96 (53.3)</w:t>
            </w:r>
          </w:p>
        </w:tc>
        <w:tc>
          <w:tcPr>
            <w:tcW w:w="1018" w:type="dxa"/>
            <w:gridSpan w:val="2"/>
            <w:shd w:val="clear" w:color="auto" w:fill="auto"/>
            <w:noWrap/>
            <w:vAlign w:val="center"/>
            <w:hideMark/>
          </w:tcPr>
          <w:p w14:paraId="030EA2B3"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84 (46.7)</w:t>
            </w:r>
          </w:p>
        </w:tc>
        <w:tc>
          <w:tcPr>
            <w:tcW w:w="746" w:type="dxa"/>
            <w:gridSpan w:val="2"/>
            <w:shd w:val="clear" w:color="auto" w:fill="auto"/>
            <w:noWrap/>
            <w:vAlign w:val="center"/>
            <w:hideMark/>
          </w:tcPr>
          <w:p w14:paraId="638467EB" w14:textId="77777777" w:rsidR="006C2554" w:rsidRPr="006C2554" w:rsidRDefault="006C2554" w:rsidP="00D43ECF">
            <w:pPr>
              <w:spacing w:after="0" w:line="334" w:lineRule="auto"/>
              <w:contextualSpacing/>
              <w:jc w:val="center"/>
              <w:rPr>
                <w:rFonts w:ascii="Arial" w:hAnsi="Arial" w:cs="Arial"/>
                <w:b/>
                <w:bCs/>
                <w:color w:val="000000"/>
                <w:sz w:val="16"/>
                <w:szCs w:val="16"/>
              </w:rPr>
            </w:pPr>
            <w:r w:rsidRPr="006C2554">
              <w:rPr>
                <w:rFonts w:ascii="Arial" w:hAnsi="Arial" w:cs="Arial"/>
                <w:b/>
                <w:bCs/>
                <w:color w:val="000000"/>
                <w:sz w:val="16"/>
                <w:szCs w:val="16"/>
              </w:rPr>
              <w:t>0.045</w:t>
            </w:r>
          </w:p>
        </w:tc>
        <w:tc>
          <w:tcPr>
            <w:tcW w:w="634" w:type="dxa"/>
            <w:gridSpan w:val="2"/>
            <w:shd w:val="clear" w:color="auto" w:fill="auto"/>
            <w:vAlign w:val="center"/>
            <w:hideMark/>
          </w:tcPr>
          <w:p w14:paraId="699399B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1.75</w:t>
            </w:r>
          </w:p>
        </w:tc>
        <w:tc>
          <w:tcPr>
            <w:tcW w:w="751" w:type="dxa"/>
            <w:gridSpan w:val="2"/>
            <w:shd w:val="clear" w:color="auto" w:fill="auto"/>
            <w:vAlign w:val="center"/>
            <w:hideMark/>
          </w:tcPr>
          <w:p w14:paraId="5E7D9956"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1.027</w:t>
            </w:r>
          </w:p>
        </w:tc>
        <w:tc>
          <w:tcPr>
            <w:tcW w:w="752" w:type="dxa"/>
            <w:gridSpan w:val="3"/>
            <w:shd w:val="clear" w:color="auto" w:fill="auto"/>
            <w:vAlign w:val="center"/>
            <w:hideMark/>
          </w:tcPr>
          <w:p w14:paraId="1370627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2.982</w:t>
            </w:r>
          </w:p>
        </w:tc>
        <w:tc>
          <w:tcPr>
            <w:tcW w:w="1123" w:type="dxa"/>
            <w:gridSpan w:val="2"/>
            <w:shd w:val="clear" w:color="auto" w:fill="auto"/>
            <w:noWrap/>
            <w:vAlign w:val="center"/>
            <w:hideMark/>
          </w:tcPr>
          <w:p w14:paraId="597F44FA"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142 (78.9)</w:t>
            </w:r>
          </w:p>
        </w:tc>
        <w:tc>
          <w:tcPr>
            <w:tcW w:w="1005" w:type="dxa"/>
            <w:gridSpan w:val="2"/>
            <w:shd w:val="clear" w:color="auto" w:fill="auto"/>
            <w:noWrap/>
            <w:vAlign w:val="center"/>
            <w:hideMark/>
          </w:tcPr>
          <w:p w14:paraId="0286166C"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38 (21.1)</w:t>
            </w:r>
          </w:p>
        </w:tc>
        <w:tc>
          <w:tcPr>
            <w:tcW w:w="680" w:type="dxa"/>
            <w:gridSpan w:val="2"/>
            <w:shd w:val="clear" w:color="auto" w:fill="auto"/>
            <w:noWrap/>
            <w:vAlign w:val="center"/>
            <w:hideMark/>
          </w:tcPr>
          <w:p w14:paraId="6D16DA6A"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0.746</w:t>
            </w:r>
          </w:p>
        </w:tc>
        <w:tc>
          <w:tcPr>
            <w:tcW w:w="872" w:type="dxa"/>
            <w:gridSpan w:val="2"/>
            <w:shd w:val="clear" w:color="auto" w:fill="auto"/>
            <w:vAlign w:val="center"/>
            <w:hideMark/>
          </w:tcPr>
          <w:p w14:paraId="20C602A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1.145</w:t>
            </w:r>
          </w:p>
        </w:tc>
        <w:tc>
          <w:tcPr>
            <w:tcW w:w="937" w:type="dxa"/>
            <w:gridSpan w:val="2"/>
            <w:shd w:val="clear" w:color="auto" w:fill="auto"/>
            <w:vAlign w:val="center"/>
            <w:hideMark/>
          </w:tcPr>
          <w:p w14:paraId="6760B208"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0.612</w:t>
            </w:r>
          </w:p>
        </w:tc>
        <w:tc>
          <w:tcPr>
            <w:tcW w:w="941" w:type="dxa"/>
            <w:gridSpan w:val="2"/>
            <w:shd w:val="clear" w:color="auto" w:fill="auto"/>
            <w:vAlign w:val="center"/>
            <w:hideMark/>
          </w:tcPr>
          <w:p w14:paraId="039AD64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2.142</w:t>
            </w:r>
          </w:p>
        </w:tc>
      </w:tr>
      <w:tr w:rsidR="006C2554" w:rsidRPr="006C2554" w14:paraId="47ED5AAE" w14:textId="77777777" w:rsidTr="006C2554">
        <w:trPr>
          <w:trHeight w:val="216"/>
        </w:trPr>
        <w:tc>
          <w:tcPr>
            <w:tcW w:w="3330" w:type="dxa"/>
            <w:shd w:val="clear" w:color="auto" w:fill="auto"/>
            <w:noWrap/>
            <w:vAlign w:val="center"/>
            <w:hideMark/>
          </w:tcPr>
          <w:p w14:paraId="50862FCF" w14:textId="77777777" w:rsidR="006C2554" w:rsidRPr="006C2554" w:rsidRDefault="006C2554" w:rsidP="00D43ECF">
            <w:pPr>
              <w:spacing w:after="0" w:line="334" w:lineRule="auto"/>
              <w:contextualSpacing/>
              <w:rPr>
                <w:rFonts w:ascii="Arial" w:hAnsi="Arial" w:cs="Arial"/>
                <w:color w:val="000000"/>
                <w:sz w:val="16"/>
                <w:szCs w:val="16"/>
              </w:rPr>
            </w:pPr>
            <w:r w:rsidRPr="006C2554">
              <w:rPr>
                <w:rFonts w:ascii="Arial" w:hAnsi="Arial" w:cs="Arial"/>
                <w:color w:val="000000"/>
                <w:sz w:val="16"/>
                <w:szCs w:val="16"/>
              </w:rPr>
              <w:t>Yes</w:t>
            </w:r>
          </w:p>
        </w:tc>
        <w:tc>
          <w:tcPr>
            <w:tcW w:w="1128" w:type="dxa"/>
            <w:shd w:val="clear" w:color="auto" w:fill="auto"/>
            <w:noWrap/>
            <w:vAlign w:val="center"/>
            <w:hideMark/>
          </w:tcPr>
          <w:p w14:paraId="46E4EAB2"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32 (39.5)</w:t>
            </w:r>
          </w:p>
        </w:tc>
        <w:tc>
          <w:tcPr>
            <w:tcW w:w="1018" w:type="dxa"/>
            <w:gridSpan w:val="2"/>
            <w:shd w:val="clear" w:color="auto" w:fill="auto"/>
            <w:noWrap/>
            <w:vAlign w:val="center"/>
            <w:hideMark/>
          </w:tcPr>
          <w:p w14:paraId="570C87FA"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49 (60.5)</w:t>
            </w:r>
          </w:p>
        </w:tc>
        <w:tc>
          <w:tcPr>
            <w:tcW w:w="746" w:type="dxa"/>
            <w:gridSpan w:val="2"/>
            <w:shd w:val="clear" w:color="auto" w:fill="auto"/>
            <w:noWrap/>
            <w:vAlign w:val="center"/>
            <w:hideMark/>
          </w:tcPr>
          <w:p w14:paraId="16C96F71"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634" w:type="dxa"/>
            <w:gridSpan w:val="2"/>
            <w:shd w:val="clear" w:color="auto" w:fill="auto"/>
            <w:noWrap/>
            <w:vAlign w:val="center"/>
            <w:hideMark/>
          </w:tcPr>
          <w:p w14:paraId="48C511E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751" w:type="dxa"/>
            <w:gridSpan w:val="2"/>
            <w:shd w:val="clear" w:color="auto" w:fill="auto"/>
            <w:noWrap/>
            <w:vAlign w:val="center"/>
            <w:hideMark/>
          </w:tcPr>
          <w:p w14:paraId="4B4D7CB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752" w:type="dxa"/>
            <w:gridSpan w:val="3"/>
            <w:shd w:val="clear" w:color="auto" w:fill="auto"/>
            <w:noWrap/>
            <w:vAlign w:val="center"/>
            <w:hideMark/>
          </w:tcPr>
          <w:p w14:paraId="76B5C36E"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1123" w:type="dxa"/>
            <w:gridSpan w:val="2"/>
            <w:shd w:val="clear" w:color="auto" w:fill="auto"/>
            <w:noWrap/>
            <w:vAlign w:val="center"/>
            <w:hideMark/>
          </w:tcPr>
          <w:p w14:paraId="36173C16"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62 (76.5)</w:t>
            </w:r>
          </w:p>
        </w:tc>
        <w:tc>
          <w:tcPr>
            <w:tcW w:w="1005" w:type="dxa"/>
            <w:gridSpan w:val="2"/>
            <w:shd w:val="clear" w:color="auto" w:fill="auto"/>
            <w:noWrap/>
            <w:vAlign w:val="center"/>
            <w:hideMark/>
          </w:tcPr>
          <w:p w14:paraId="3468EBD7" w14:textId="77777777" w:rsidR="006C2554" w:rsidRPr="006C2554" w:rsidRDefault="006C2554" w:rsidP="00D43ECF">
            <w:pPr>
              <w:spacing w:after="0" w:line="334" w:lineRule="auto"/>
              <w:contextualSpacing/>
              <w:jc w:val="center"/>
              <w:rPr>
                <w:rFonts w:ascii="Arial" w:hAnsi="Arial" w:cs="Arial"/>
                <w:color w:val="010205"/>
                <w:sz w:val="16"/>
                <w:szCs w:val="16"/>
              </w:rPr>
            </w:pPr>
            <w:r w:rsidRPr="006C2554">
              <w:rPr>
                <w:rFonts w:ascii="Arial" w:hAnsi="Arial" w:cs="Arial"/>
                <w:color w:val="010205"/>
                <w:sz w:val="16"/>
                <w:szCs w:val="16"/>
              </w:rPr>
              <w:t>19 (23.5)</w:t>
            </w:r>
          </w:p>
        </w:tc>
        <w:tc>
          <w:tcPr>
            <w:tcW w:w="680" w:type="dxa"/>
            <w:gridSpan w:val="2"/>
            <w:shd w:val="clear" w:color="auto" w:fill="auto"/>
            <w:noWrap/>
            <w:vAlign w:val="center"/>
            <w:hideMark/>
          </w:tcPr>
          <w:p w14:paraId="382C5466"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872" w:type="dxa"/>
            <w:gridSpan w:val="2"/>
            <w:shd w:val="clear" w:color="auto" w:fill="auto"/>
            <w:noWrap/>
            <w:vAlign w:val="center"/>
            <w:hideMark/>
          </w:tcPr>
          <w:p w14:paraId="17AE96DD"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937" w:type="dxa"/>
            <w:gridSpan w:val="2"/>
            <w:shd w:val="clear" w:color="auto" w:fill="auto"/>
            <w:noWrap/>
            <w:vAlign w:val="center"/>
            <w:hideMark/>
          </w:tcPr>
          <w:p w14:paraId="1FDE4C8B"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c>
          <w:tcPr>
            <w:tcW w:w="941" w:type="dxa"/>
            <w:gridSpan w:val="2"/>
            <w:shd w:val="clear" w:color="auto" w:fill="auto"/>
            <w:noWrap/>
            <w:vAlign w:val="center"/>
            <w:hideMark/>
          </w:tcPr>
          <w:p w14:paraId="2E2B2313" w14:textId="77777777" w:rsidR="006C2554" w:rsidRPr="006C2554" w:rsidRDefault="006C2554" w:rsidP="00D43ECF">
            <w:pPr>
              <w:spacing w:after="0" w:line="334" w:lineRule="auto"/>
              <w:contextualSpacing/>
              <w:jc w:val="center"/>
              <w:rPr>
                <w:rFonts w:ascii="Arial" w:hAnsi="Arial" w:cs="Arial"/>
                <w:color w:val="000000"/>
                <w:sz w:val="16"/>
                <w:szCs w:val="16"/>
              </w:rPr>
            </w:pPr>
            <w:r w:rsidRPr="006C2554">
              <w:rPr>
                <w:rFonts w:ascii="Arial" w:hAnsi="Arial" w:cs="Arial"/>
                <w:color w:val="000000"/>
                <w:sz w:val="16"/>
                <w:szCs w:val="16"/>
              </w:rPr>
              <w:t> </w:t>
            </w:r>
          </w:p>
        </w:tc>
      </w:tr>
    </w:tbl>
    <w:p w14:paraId="5D2AFA24" w14:textId="7296836A" w:rsidR="00D43ECF" w:rsidRDefault="00D43ECF" w:rsidP="00D43ECF">
      <w:pPr>
        <w:spacing w:line="360" w:lineRule="auto"/>
        <w:rPr>
          <w:rFonts w:ascii="Arial" w:hAnsi="Arial" w:cs="Arial"/>
          <w:sz w:val="16"/>
          <w:szCs w:val="16"/>
        </w:rPr>
      </w:pPr>
      <w:r w:rsidRPr="006C2554">
        <w:rPr>
          <w:rFonts w:ascii="Arial" w:hAnsi="Arial" w:cs="Arial"/>
          <w:sz w:val="16"/>
          <w:szCs w:val="16"/>
        </w:rPr>
        <w:t>* p-value &lt; 0.05</w:t>
      </w:r>
    </w:p>
    <w:p w14:paraId="4A30D92E" w14:textId="77777777" w:rsidR="00D43ECF" w:rsidRDefault="00D43ECF" w:rsidP="006C2554">
      <w:pPr>
        <w:spacing w:line="360" w:lineRule="auto"/>
        <w:rPr>
          <w:rFonts w:ascii="Arial" w:hAnsi="Arial" w:cs="Arial"/>
          <w:sz w:val="16"/>
          <w:szCs w:val="16"/>
        </w:rPr>
        <w:sectPr w:rsidR="00D43ECF" w:rsidSect="007E17ED">
          <w:type w:val="continuous"/>
          <w:pgSz w:w="16838" w:h="11906" w:orient="landscape" w:code="9"/>
          <w:pgMar w:top="907" w:right="868" w:bottom="964" w:left="1418" w:header="709" w:footer="709" w:gutter="0"/>
          <w:cols w:space="708"/>
          <w:titlePg/>
          <w:docGrid w:linePitch="360"/>
        </w:sectPr>
      </w:pPr>
    </w:p>
    <w:p w14:paraId="7EA25A3E" w14:textId="606C18AB" w:rsidR="00D43ECF" w:rsidRPr="00D43ECF" w:rsidRDefault="00D43ECF" w:rsidP="00D43ECF">
      <w:pPr>
        <w:tabs>
          <w:tab w:val="left" w:pos="8412"/>
        </w:tabs>
        <w:spacing w:after="0" w:line="334" w:lineRule="auto"/>
        <w:contextualSpacing/>
        <w:jc w:val="both"/>
        <w:rPr>
          <w:rFonts w:ascii="Arial" w:hAnsi="Arial" w:cs="Arial"/>
          <w:sz w:val="20"/>
          <w:szCs w:val="20"/>
        </w:rPr>
        <w:sectPr w:rsidR="00D43ECF" w:rsidRPr="00D43ECF" w:rsidSect="00F105D1">
          <w:type w:val="continuous"/>
          <w:pgSz w:w="11906" w:h="16838" w:code="9"/>
          <w:pgMar w:top="1418" w:right="907" w:bottom="868" w:left="964" w:header="709" w:footer="709" w:gutter="0"/>
          <w:cols w:num="2" w:space="708"/>
          <w:titlePg/>
          <w:docGrid w:linePitch="360"/>
        </w:sectPr>
      </w:pPr>
      <w:r w:rsidRPr="00D43ECF">
        <w:rPr>
          <w:rFonts w:ascii="Arial" w:hAnsi="Arial" w:cs="Arial"/>
          <w:b/>
          <w:sz w:val="20"/>
          <w:szCs w:val="20"/>
        </w:rPr>
        <w:lastRenderedPageBreak/>
        <w:t xml:space="preserve">Table 4 </w:t>
      </w:r>
      <w:r w:rsidRPr="00D43ECF">
        <w:rPr>
          <w:rFonts w:ascii="Arial" w:hAnsi="Arial" w:cs="Arial"/>
          <w:sz w:val="20"/>
          <w:szCs w:val="20"/>
        </w:rPr>
        <w:t>shows that the incidence of AEFI in the first 15 minutes is affected by gender, BMI, vaccine types, comorbidities, history of allergic reactions, taking medication during the past 6 months and prior COVID-19 infection with p-value &lt;0.05. Meanwhile, monitoring at 15 minutes – 24 hours showed that the incidence of AEFI was affected by risk factors of gender, vaccine types, comorbidities, history of allergic reactions, taking medication during the past 6 months and prior COVID-19 infection with a p-</w:t>
      </w:r>
      <w:r w:rsidRPr="00D43ECF">
        <w:rPr>
          <w:rFonts w:ascii="Arial" w:hAnsi="Arial" w:cs="Arial"/>
          <w:sz w:val="20"/>
          <w:szCs w:val="20"/>
        </w:rPr>
        <w:br w:type="column"/>
      </w:r>
      <w:r w:rsidRPr="00D43ECF">
        <w:rPr>
          <w:rFonts w:ascii="Arial" w:hAnsi="Arial" w:cs="Arial"/>
          <w:sz w:val="20"/>
          <w:szCs w:val="20"/>
        </w:rPr>
        <w:t>value &lt;0, 05. In the 24-48 hours monitoring, the incidence of AEFI was affected by gender, age, vaccine types, history of allergic reactions  and previous COVID-19 infection with a p-value &lt;0.05 as presented in Table 5. Monitoring of AEFIs at 48 hours – 7 days (</w:t>
      </w:r>
      <w:proofErr w:type="spellStart"/>
      <w:r w:rsidRPr="00D43ECF">
        <w:rPr>
          <w:rFonts w:ascii="Arial" w:hAnsi="Arial" w:cs="Arial"/>
          <w:b/>
          <w:bCs/>
          <w:sz w:val="20"/>
          <w:szCs w:val="20"/>
        </w:rPr>
        <w:t>Tabel</w:t>
      </w:r>
      <w:proofErr w:type="spellEnd"/>
      <w:r w:rsidRPr="00D43ECF">
        <w:rPr>
          <w:rFonts w:ascii="Arial" w:hAnsi="Arial" w:cs="Arial"/>
          <w:b/>
          <w:bCs/>
          <w:sz w:val="20"/>
          <w:szCs w:val="20"/>
        </w:rPr>
        <w:t xml:space="preserve"> 5)</w:t>
      </w:r>
      <w:r w:rsidRPr="00D43ECF">
        <w:rPr>
          <w:rFonts w:ascii="Arial" w:hAnsi="Arial" w:cs="Arial"/>
          <w:sz w:val="20"/>
          <w:szCs w:val="20"/>
        </w:rPr>
        <w:t xml:space="preserve"> showed that the incidence of AEFI was affected by age, vaccine types, comorbidities, history of allergic reactions and </w:t>
      </w:r>
      <w:r w:rsidRPr="00D43ECF">
        <w:rPr>
          <w:rFonts w:ascii="Arial" w:hAnsi="Arial" w:cs="Arial"/>
          <w:color w:val="000000"/>
          <w:sz w:val="20"/>
          <w:szCs w:val="20"/>
        </w:rPr>
        <w:t>hospitalization in the last 3 months</w:t>
      </w:r>
      <w:r w:rsidRPr="00D43ECF">
        <w:rPr>
          <w:rFonts w:ascii="Arial" w:hAnsi="Arial" w:cs="Arial"/>
          <w:sz w:val="20"/>
          <w:szCs w:val="20"/>
        </w:rPr>
        <w:t xml:space="preserve"> with a p-value &lt;0.050</w:t>
      </w:r>
    </w:p>
    <w:p w14:paraId="1A67A8A5" w14:textId="77777777" w:rsidR="00D43ECF" w:rsidRDefault="00D43ECF" w:rsidP="00D43ECF">
      <w:pPr>
        <w:rPr>
          <w:rFonts w:ascii="Arial" w:hAnsi="Arial" w:cs="Arial"/>
          <w:sz w:val="20"/>
          <w:szCs w:val="20"/>
        </w:rPr>
      </w:pPr>
    </w:p>
    <w:p w14:paraId="46FEF514" w14:textId="2DFB3D33" w:rsidR="00D43ECF" w:rsidRPr="00D43ECF" w:rsidRDefault="00D43ECF" w:rsidP="00D43ECF">
      <w:pPr>
        <w:rPr>
          <w:rFonts w:ascii="Arial" w:hAnsi="Arial" w:cs="Arial"/>
          <w:sz w:val="16"/>
          <w:szCs w:val="16"/>
        </w:rPr>
      </w:pPr>
      <w:r w:rsidRPr="00D43ECF">
        <w:rPr>
          <w:rFonts w:ascii="Arial" w:hAnsi="Arial" w:cs="Arial"/>
          <w:b/>
          <w:bCs/>
          <w:sz w:val="16"/>
          <w:szCs w:val="16"/>
        </w:rPr>
        <w:t xml:space="preserve">Table 6. </w:t>
      </w:r>
      <w:r w:rsidRPr="00D43ECF">
        <w:rPr>
          <w:rFonts w:ascii="Arial" w:hAnsi="Arial" w:cs="Arial"/>
          <w:sz w:val="16"/>
          <w:szCs w:val="16"/>
        </w:rPr>
        <w:t>Vaccine combination variations on the incidence of AEFI</w:t>
      </w:r>
    </w:p>
    <w:tbl>
      <w:tblPr>
        <w:tblpPr w:leftFromText="180" w:rightFromText="180" w:vertAnchor="page" w:horzAnchor="margin" w:tblpY="5367"/>
        <w:tblW w:w="9975" w:type="dxa"/>
        <w:tblBorders>
          <w:top w:val="single" w:sz="4" w:space="0" w:color="auto"/>
          <w:bottom w:val="single" w:sz="4" w:space="0" w:color="auto"/>
        </w:tblBorders>
        <w:tblLayout w:type="fixed"/>
        <w:tblLook w:val="04A0" w:firstRow="1" w:lastRow="0" w:firstColumn="1" w:lastColumn="0" w:noHBand="0" w:noVBand="1"/>
      </w:tblPr>
      <w:tblGrid>
        <w:gridCol w:w="3746"/>
        <w:gridCol w:w="741"/>
        <w:gridCol w:w="873"/>
        <w:gridCol w:w="700"/>
        <w:gridCol w:w="770"/>
        <w:gridCol w:w="726"/>
        <w:gridCol w:w="829"/>
        <w:gridCol w:w="809"/>
        <w:gridCol w:w="781"/>
      </w:tblGrid>
      <w:tr w:rsidR="00D43ECF" w:rsidRPr="00D43ECF" w14:paraId="3E4E30C0" w14:textId="77777777" w:rsidTr="00D43ECF">
        <w:trPr>
          <w:trHeight w:val="249"/>
        </w:trPr>
        <w:tc>
          <w:tcPr>
            <w:tcW w:w="3746" w:type="dxa"/>
            <w:vMerge w:val="restart"/>
            <w:tcBorders>
              <w:top w:val="single" w:sz="4" w:space="0" w:color="auto"/>
              <w:bottom w:val="nil"/>
            </w:tcBorders>
            <w:shd w:val="clear" w:color="auto" w:fill="auto"/>
            <w:noWrap/>
            <w:vAlign w:val="center"/>
            <w:hideMark/>
          </w:tcPr>
          <w:p w14:paraId="1A4F956F"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sz w:val="16"/>
                <w:szCs w:val="16"/>
              </w:rPr>
              <w:t>Vaccine combination variations</w:t>
            </w:r>
          </w:p>
        </w:tc>
        <w:tc>
          <w:tcPr>
            <w:tcW w:w="1614" w:type="dxa"/>
            <w:gridSpan w:val="2"/>
            <w:tcBorders>
              <w:top w:val="single" w:sz="4" w:space="0" w:color="auto"/>
              <w:bottom w:val="single" w:sz="4" w:space="0" w:color="auto"/>
            </w:tcBorders>
            <w:shd w:val="clear" w:color="auto" w:fill="auto"/>
            <w:noWrap/>
            <w:vAlign w:val="center"/>
            <w:hideMark/>
          </w:tcPr>
          <w:p w14:paraId="7A24778C"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AEFI 15 minutes</w:t>
            </w:r>
          </w:p>
        </w:tc>
        <w:tc>
          <w:tcPr>
            <w:tcW w:w="1470" w:type="dxa"/>
            <w:gridSpan w:val="2"/>
            <w:tcBorders>
              <w:top w:val="single" w:sz="4" w:space="0" w:color="auto"/>
              <w:bottom w:val="single" w:sz="4" w:space="0" w:color="auto"/>
            </w:tcBorders>
            <w:shd w:val="clear" w:color="auto" w:fill="auto"/>
            <w:noWrap/>
            <w:vAlign w:val="center"/>
            <w:hideMark/>
          </w:tcPr>
          <w:p w14:paraId="640B26D9"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AEFI 15 minutes - 24 hours</w:t>
            </w:r>
          </w:p>
        </w:tc>
        <w:tc>
          <w:tcPr>
            <w:tcW w:w="1555" w:type="dxa"/>
            <w:gridSpan w:val="2"/>
            <w:tcBorders>
              <w:top w:val="single" w:sz="4" w:space="0" w:color="auto"/>
              <w:bottom w:val="single" w:sz="4" w:space="0" w:color="auto"/>
            </w:tcBorders>
            <w:shd w:val="clear" w:color="auto" w:fill="auto"/>
            <w:noWrap/>
            <w:vAlign w:val="center"/>
            <w:hideMark/>
          </w:tcPr>
          <w:p w14:paraId="1ADE4FBD"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AEFI 24 hours - 48 hours</w:t>
            </w:r>
          </w:p>
        </w:tc>
        <w:tc>
          <w:tcPr>
            <w:tcW w:w="1590" w:type="dxa"/>
            <w:gridSpan w:val="2"/>
            <w:tcBorders>
              <w:top w:val="single" w:sz="4" w:space="0" w:color="auto"/>
              <w:bottom w:val="single" w:sz="4" w:space="0" w:color="auto"/>
            </w:tcBorders>
            <w:shd w:val="clear" w:color="auto" w:fill="auto"/>
            <w:noWrap/>
            <w:vAlign w:val="center"/>
            <w:hideMark/>
          </w:tcPr>
          <w:p w14:paraId="5DA5D7A1"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AEFI 48 hours - 7 hours</w:t>
            </w:r>
          </w:p>
        </w:tc>
      </w:tr>
      <w:tr w:rsidR="00D43ECF" w:rsidRPr="00D43ECF" w14:paraId="4A34E668" w14:textId="77777777" w:rsidTr="00D43ECF">
        <w:trPr>
          <w:trHeight w:val="535"/>
        </w:trPr>
        <w:tc>
          <w:tcPr>
            <w:tcW w:w="3746" w:type="dxa"/>
            <w:vMerge/>
            <w:tcBorders>
              <w:top w:val="nil"/>
              <w:bottom w:val="single" w:sz="4" w:space="0" w:color="auto"/>
            </w:tcBorders>
            <w:vAlign w:val="center"/>
            <w:hideMark/>
          </w:tcPr>
          <w:p w14:paraId="58B119DA" w14:textId="77777777" w:rsidR="00D43ECF" w:rsidRPr="00D43ECF" w:rsidRDefault="00D43ECF" w:rsidP="00D43ECF">
            <w:pPr>
              <w:spacing w:line="334" w:lineRule="auto"/>
              <w:contextualSpacing/>
              <w:rPr>
                <w:rFonts w:ascii="Arial" w:hAnsi="Arial" w:cs="Arial"/>
                <w:b/>
                <w:bCs/>
                <w:sz w:val="16"/>
                <w:szCs w:val="16"/>
              </w:rPr>
            </w:pPr>
          </w:p>
        </w:tc>
        <w:tc>
          <w:tcPr>
            <w:tcW w:w="741" w:type="dxa"/>
            <w:tcBorders>
              <w:top w:val="single" w:sz="4" w:space="0" w:color="auto"/>
              <w:bottom w:val="single" w:sz="4" w:space="0" w:color="auto"/>
            </w:tcBorders>
            <w:shd w:val="clear" w:color="auto" w:fill="auto"/>
            <w:vAlign w:val="center"/>
            <w:hideMark/>
          </w:tcPr>
          <w:p w14:paraId="1D39B3D0"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No</w:t>
            </w:r>
          </w:p>
        </w:tc>
        <w:tc>
          <w:tcPr>
            <w:tcW w:w="873" w:type="dxa"/>
            <w:tcBorders>
              <w:top w:val="single" w:sz="4" w:space="0" w:color="auto"/>
              <w:bottom w:val="single" w:sz="4" w:space="0" w:color="auto"/>
            </w:tcBorders>
            <w:shd w:val="clear" w:color="auto" w:fill="auto"/>
            <w:vAlign w:val="center"/>
            <w:hideMark/>
          </w:tcPr>
          <w:p w14:paraId="49B3F074"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Yes</w:t>
            </w:r>
          </w:p>
        </w:tc>
        <w:tc>
          <w:tcPr>
            <w:tcW w:w="700" w:type="dxa"/>
            <w:tcBorders>
              <w:top w:val="single" w:sz="4" w:space="0" w:color="auto"/>
              <w:bottom w:val="single" w:sz="4" w:space="0" w:color="auto"/>
            </w:tcBorders>
            <w:shd w:val="clear" w:color="auto" w:fill="auto"/>
            <w:vAlign w:val="center"/>
            <w:hideMark/>
          </w:tcPr>
          <w:p w14:paraId="171C6D55"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No</w:t>
            </w:r>
          </w:p>
        </w:tc>
        <w:tc>
          <w:tcPr>
            <w:tcW w:w="770" w:type="dxa"/>
            <w:tcBorders>
              <w:top w:val="single" w:sz="4" w:space="0" w:color="auto"/>
              <w:bottom w:val="single" w:sz="4" w:space="0" w:color="auto"/>
            </w:tcBorders>
            <w:shd w:val="clear" w:color="auto" w:fill="auto"/>
            <w:vAlign w:val="center"/>
            <w:hideMark/>
          </w:tcPr>
          <w:p w14:paraId="389B0B87"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Yes</w:t>
            </w:r>
          </w:p>
        </w:tc>
        <w:tc>
          <w:tcPr>
            <w:tcW w:w="726" w:type="dxa"/>
            <w:tcBorders>
              <w:top w:val="single" w:sz="4" w:space="0" w:color="auto"/>
              <w:bottom w:val="single" w:sz="4" w:space="0" w:color="auto"/>
            </w:tcBorders>
            <w:shd w:val="clear" w:color="auto" w:fill="auto"/>
            <w:vAlign w:val="center"/>
            <w:hideMark/>
          </w:tcPr>
          <w:p w14:paraId="2F1615FB"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No</w:t>
            </w:r>
          </w:p>
        </w:tc>
        <w:tc>
          <w:tcPr>
            <w:tcW w:w="829" w:type="dxa"/>
            <w:tcBorders>
              <w:top w:val="single" w:sz="4" w:space="0" w:color="auto"/>
              <w:bottom w:val="single" w:sz="4" w:space="0" w:color="auto"/>
            </w:tcBorders>
            <w:shd w:val="clear" w:color="auto" w:fill="auto"/>
            <w:vAlign w:val="center"/>
            <w:hideMark/>
          </w:tcPr>
          <w:p w14:paraId="7D561326"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Yes</w:t>
            </w:r>
          </w:p>
        </w:tc>
        <w:tc>
          <w:tcPr>
            <w:tcW w:w="809" w:type="dxa"/>
            <w:tcBorders>
              <w:top w:val="single" w:sz="4" w:space="0" w:color="auto"/>
              <w:bottom w:val="single" w:sz="4" w:space="0" w:color="auto"/>
            </w:tcBorders>
            <w:shd w:val="clear" w:color="auto" w:fill="auto"/>
            <w:vAlign w:val="center"/>
            <w:hideMark/>
          </w:tcPr>
          <w:p w14:paraId="6A299841"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No</w:t>
            </w:r>
          </w:p>
        </w:tc>
        <w:tc>
          <w:tcPr>
            <w:tcW w:w="781" w:type="dxa"/>
            <w:tcBorders>
              <w:top w:val="single" w:sz="4" w:space="0" w:color="auto"/>
              <w:bottom w:val="single" w:sz="4" w:space="0" w:color="auto"/>
            </w:tcBorders>
            <w:shd w:val="clear" w:color="auto" w:fill="auto"/>
            <w:vAlign w:val="center"/>
            <w:hideMark/>
          </w:tcPr>
          <w:p w14:paraId="58C2F4C4" w14:textId="77777777" w:rsidR="00D43ECF" w:rsidRPr="00D43ECF" w:rsidRDefault="00D43ECF" w:rsidP="00D43ECF">
            <w:pPr>
              <w:spacing w:line="334" w:lineRule="auto"/>
              <w:contextualSpacing/>
              <w:jc w:val="center"/>
              <w:rPr>
                <w:rFonts w:ascii="Arial" w:hAnsi="Arial" w:cs="Arial"/>
                <w:b/>
                <w:bCs/>
                <w:sz w:val="16"/>
                <w:szCs w:val="16"/>
              </w:rPr>
            </w:pPr>
            <w:r w:rsidRPr="00D43ECF">
              <w:rPr>
                <w:rFonts w:ascii="Arial" w:hAnsi="Arial" w:cs="Arial"/>
                <w:b/>
                <w:bCs/>
                <w:sz w:val="16"/>
                <w:szCs w:val="16"/>
              </w:rPr>
              <w:t>Yes</w:t>
            </w:r>
          </w:p>
        </w:tc>
      </w:tr>
      <w:tr w:rsidR="00D43ECF" w:rsidRPr="00D43ECF" w14:paraId="39BDDB1E" w14:textId="77777777" w:rsidTr="00D43ECF">
        <w:trPr>
          <w:trHeight w:val="249"/>
        </w:trPr>
        <w:tc>
          <w:tcPr>
            <w:tcW w:w="3746" w:type="dxa"/>
            <w:tcBorders>
              <w:top w:val="single" w:sz="4" w:space="0" w:color="auto"/>
            </w:tcBorders>
            <w:shd w:val="clear" w:color="auto" w:fill="auto"/>
            <w:noWrap/>
            <w:vAlign w:val="bottom"/>
            <w:hideMark/>
          </w:tcPr>
          <w:p w14:paraId="6A781080"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Pfizer</w:t>
            </w:r>
          </w:p>
        </w:tc>
        <w:tc>
          <w:tcPr>
            <w:tcW w:w="741" w:type="dxa"/>
            <w:tcBorders>
              <w:top w:val="single" w:sz="4" w:space="0" w:color="auto"/>
            </w:tcBorders>
            <w:shd w:val="clear" w:color="auto" w:fill="auto"/>
            <w:noWrap/>
            <w:vAlign w:val="bottom"/>
            <w:hideMark/>
          </w:tcPr>
          <w:p w14:paraId="1B1DEDD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25%</w:t>
            </w:r>
          </w:p>
        </w:tc>
        <w:tc>
          <w:tcPr>
            <w:tcW w:w="873" w:type="dxa"/>
            <w:tcBorders>
              <w:top w:val="single" w:sz="4" w:space="0" w:color="auto"/>
            </w:tcBorders>
            <w:shd w:val="clear" w:color="auto" w:fill="auto"/>
            <w:noWrap/>
            <w:vAlign w:val="bottom"/>
            <w:hideMark/>
          </w:tcPr>
          <w:p w14:paraId="663A4E2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75%</w:t>
            </w:r>
          </w:p>
        </w:tc>
        <w:tc>
          <w:tcPr>
            <w:tcW w:w="700" w:type="dxa"/>
            <w:tcBorders>
              <w:top w:val="single" w:sz="4" w:space="0" w:color="auto"/>
            </w:tcBorders>
            <w:shd w:val="clear" w:color="auto" w:fill="auto"/>
            <w:noWrap/>
            <w:vAlign w:val="bottom"/>
            <w:hideMark/>
          </w:tcPr>
          <w:p w14:paraId="65D55AC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13%</w:t>
            </w:r>
          </w:p>
        </w:tc>
        <w:tc>
          <w:tcPr>
            <w:tcW w:w="770" w:type="dxa"/>
            <w:tcBorders>
              <w:top w:val="single" w:sz="4" w:space="0" w:color="auto"/>
            </w:tcBorders>
            <w:shd w:val="clear" w:color="auto" w:fill="auto"/>
            <w:noWrap/>
            <w:vAlign w:val="bottom"/>
            <w:hideMark/>
          </w:tcPr>
          <w:p w14:paraId="4509577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88%</w:t>
            </w:r>
          </w:p>
        </w:tc>
        <w:tc>
          <w:tcPr>
            <w:tcW w:w="726" w:type="dxa"/>
            <w:tcBorders>
              <w:top w:val="single" w:sz="4" w:space="0" w:color="auto"/>
            </w:tcBorders>
            <w:shd w:val="clear" w:color="auto" w:fill="auto"/>
            <w:noWrap/>
            <w:vAlign w:val="bottom"/>
            <w:hideMark/>
          </w:tcPr>
          <w:p w14:paraId="126E61A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63%</w:t>
            </w:r>
          </w:p>
        </w:tc>
        <w:tc>
          <w:tcPr>
            <w:tcW w:w="829" w:type="dxa"/>
            <w:tcBorders>
              <w:top w:val="single" w:sz="4" w:space="0" w:color="auto"/>
            </w:tcBorders>
            <w:shd w:val="clear" w:color="auto" w:fill="auto"/>
            <w:noWrap/>
            <w:vAlign w:val="bottom"/>
            <w:hideMark/>
          </w:tcPr>
          <w:p w14:paraId="2FA423B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38%</w:t>
            </w:r>
          </w:p>
        </w:tc>
        <w:tc>
          <w:tcPr>
            <w:tcW w:w="809" w:type="dxa"/>
            <w:tcBorders>
              <w:top w:val="single" w:sz="4" w:space="0" w:color="auto"/>
            </w:tcBorders>
            <w:shd w:val="clear" w:color="auto" w:fill="auto"/>
            <w:noWrap/>
            <w:vAlign w:val="bottom"/>
            <w:hideMark/>
          </w:tcPr>
          <w:p w14:paraId="46FA4512"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75%</w:t>
            </w:r>
          </w:p>
        </w:tc>
        <w:tc>
          <w:tcPr>
            <w:tcW w:w="781" w:type="dxa"/>
            <w:tcBorders>
              <w:top w:val="single" w:sz="4" w:space="0" w:color="auto"/>
            </w:tcBorders>
            <w:shd w:val="clear" w:color="auto" w:fill="auto"/>
            <w:noWrap/>
            <w:vAlign w:val="bottom"/>
            <w:hideMark/>
          </w:tcPr>
          <w:p w14:paraId="0A38A27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25%</w:t>
            </w:r>
          </w:p>
        </w:tc>
      </w:tr>
      <w:tr w:rsidR="00D43ECF" w:rsidRPr="00D43ECF" w14:paraId="793934E7" w14:textId="77777777" w:rsidTr="00D43ECF">
        <w:trPr>
          <w:trHeight w:val="249"/>
        </w:trPr>
        <w:tc>
          <w:tcPr>
            <w:tcW w:w="3746" w:type="dxa"/>
            <w:shd w:val="clear" w:color="auto" w:fill="auto"/>
            <w:noWrap/>
            <w:vAlign w:val="bottom"/>
            <w:hideMark/>
          </w:tcPr>
          <w:p w14:paraId="438BDB99"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Pfizer + Pfizer</w:t>
            </w:r>
          </w:p>
        </w:tc>
        <w:tc>
          <w:tcPr>
            <w:tcW w:w="741" w:type="dxa"/>
            <w:shd w:val="clear" w:color="auto" w:fill="auto"/>
            <w:noWrap/>
            <w:vAlign w:val="bottom"/>
            <w:hideMark/>
          </w:tcPr>
          <w:p w14:paraId="6774644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w:t>
            </w:r>
          </w:p>
        </w:tc>
        <w:tc>
          <w:tcPr>
            <w:tcW w:w="873" w:type="dxa"/>
            <w:shd w:val="clear" w:color="auto" w:fill="auto"/>
            <w:noWrap/>
            <w:vAlign w:val="bottom"/>
            <w:hideMark/>
          </w:tcPr>
          <w:p w14:paraId="773806F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93%</w:t>
            </w:r>
          </w:p>
        </w:tc>
        <w:tc>
          <w:tcPr>
            <w:tcW w:w="700" w:type="dxa"/>
            <w:shd w:val="clear" w:color="auto" w:fill="auto"/>
            <w:noWrap/>
            <w:vAlign w:val="bottom"/>
            <w:hideMark/>
          </w:tcPr>
          <w:p w14:paraId="3B70A972"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14%</w:t>
            </w:r>
          </w:p>
        </w:tc>
        <w:tc>
          <w:tcPr>
            <w:tcW w:w="770" w:type="dxa"/>
            <w:shd w:val="clear" w:color="auto" w:fill="auto"/>
            <w:noWrap/>
            <w:vAlign w:val="bottom"/>
            <w:hideMark/>
          </w:tcPr>
          <w:p w14:paraId="6C21415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86%</w:t>
            </w:r>
          </w:p>
        </w:tc>
        <w:tc>
          <w:tcPr>
            <w:tcW w:w="726" w:type="dxa"/>
            <w:shd w:val="clear" w:color="auto" w:fill="auto"/>
            <w:noWrap/>
            <w:vAlign w:val="bottom"/>
            <w:hideMark/>
          </w:tcPr>
          <w:p w14:paraId="52D5B3E0"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43%</w:t>
            </w:r>
          </w:p>
        </w:tc>
        <w:tc>
          <w:tcPr>
            <w:tcW w:w="829" w:type="dxa"/>
            <w:shd w:val="clear" w:color="auto" w:fill="auto"/>
            <w:noWrap/>
            <w:vAlign w:val="bottom"/>
            <w:hideMark/>
          </w:tcPr>
          <w:p w14:paraId="6B62749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57%</w:t>
            </w:r>
          </w:p>
        </w:tc>
        <w:tc>
          <w:tcPr>
            <w:tcW w:w="809" w:type="dxa"/>
            <w:shd w:val="clear" w:color="auto" w:fill="auto"/>
            <w:noWrap/>
            <w:vAlign w:val="bottom"/>
            <w:hideMark/>
          </w:tcPr>
          <w:p w14:paraId="3B207584"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79%</w:t>
            </w:r>
          </w:p>
        </w:tc>
        <w:tc>
          <w:tcPr>
            <w:tcW w:w="781" w:type="dxa"/>
            <w:shd w:val="clear" w:color="auto" w:fill="auto"/>
            <w:noWrap/>
            <w:vAlign w:val="bottom"/>
            <w:hideMark/>
          </w:tcPr>
          <w:p w14:paraId="674911B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21%</w:t>
            </w:r>
          </w:p>
        </w:tc>
      </w:tr>
      <w:tr w:rsidR="00D43ECF" w:rsidRPr="00D43ECF" w14:paraId="3EA2B527" w14:textId="77777777" w:rsidTr="00D43ECF">
        <w:trPr>
          <w:trHeight w:val="249"/>
        </w:trPr>
        <w:tc>
          <w:tcPr>
            <w:tcW w:w="3746" w:type="dxa"/>
            <w:shd w:val="clear" w:color="auto" w:fill="auto"/>
            <w:noWrap/>
            <w:vAlign w:val="bottom"/>
            <w:hideMark/>
          </w:tcPr>
          <w:p w14:paraId="22AF6E31"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w:t>
            </w:r>
          </w:p>
        </w:tc>
        <w:tc>
          <w:tcPr>
            <w:tcW w:w="741" w:type="dxa"/>
            <w:shd w:val="clear" w:color="auto" w:fill="auto"/>
            <w:noWrap/>
            <w:vAlign w:val="bottom"/>
            <w:hideMark/>
          </w:tcPr>
          <w:p w14:paraId="3F23136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18%</w:t>
            </w:r>
          </w:p>
        </w:tc>
        <w:tc>
          <w:tcPr>
            <w:tcW w:w="873" w:type="dxa"/>
            <w:shd w:val="clear" w:color="auto" w:fill="auto"/>
            <w:noWrap/>
            <w:vAlign w:val="bottom"/>
            <w:hideMark/>
          </w:tcPr>
          <w:p w14:paraId="3FAC732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82%</w:t>
            </w:r>
          </w:p>
        </w:tc>
        <w:tc>
          <w:tcPr>
            <w:tcW w:w="700" w:type="dxa"/>
            <w:shd w:val="clear" w:color="auto" w:fill="auto"/>
            <w:noWrap/>
            <w:vAlign w:val="bottom"/>
            <w:hideMark/>
          </w:tcPr>
          <w:p w14:paraId="55CB122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w:t>
            </w:r>
          </w:p>
        </w:tc>
        <w:tc>
          <w:tcPr>
            <w:tcW w:w="770" w:type="dxa"/>
            <w:shd w:val="clear" w:color="auto" w:fill="auto"/>
            <w:noWrap/>
            <w:vAlign w:val="bottom"/>
            <w:hideMark/>
          </w:tcPr>
          <w:p w14:paraId="6A848B0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91%</w:t>
            </w:r>
          </w:p>
        </w:tc>
        <w:tc>
          <w:tcPr>
            <w:tcW w:w="726" w:type="dxa"/>
            <w:shd w:val="clear" w:color="auto" w:fill="auto"/>
            <w:noWrap/>
            <w:vAlign w:val="bottom"/>
            <w:hideMark/>
          </w:tcPr>
          <w:p w14:paraId="79D781F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w:t>
            </w:r>
          </w:p>
        </w:tc>
        <w:tc>
          <w:tcPr>
            <w:tcW w:w="829" w:type="dxa"/>
            <w:shd w:val="clear" w:color="auto" w:fill="auto"/>
            <w:noWrap/>
            <w:vAlign w:val="bottom"/>
            <w:hideMark/>
          </w:tcPr>
          <w:p w14:paraId="5BA1871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91%</w:t>
            </w:r>
          </w:p>
        </w:tc>
        <w:tc>
          <w:tcPr>
            <w:tcW w:w="809" w:type="dxa"/>
            <w:shd w:val="clear" w:color="auto" w:fill="auto"/>
            <w:noWrap/>
            <w:vAlign w:val="bottom"/>
            <w:hideMark/>
          </w:tcPr>
          <w:p w14:paraId="5EC87D8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73%</w:t>
            </w:r>
          </w:p>
        </w:tc>
        <w:tc>
          <w:tcPr>
            <w:tcW w:w="781" w:type="dxa"/>
            <w:shd w:val="clear" w:color="auto" w:fill="auto"/>
            <w:noWrap/>
            <w:vAlign w:val="bottom"/>
            <w:hideMark/>
          </w:tcPr>
          <w:p w14:paraId="4C85A89F"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27%</w:t>
            </w:r>
          </w:p>
        </w:tc>
      </w:tr>
      <w:tr w:rsidR="00D43ECF" w:rsidRPr="00D43ECF" w14:paraId="0C637CA3" w14:textId="77777777" w:rsidTr="00D43ECF">
        <w:trPr>
          <w:trHeight w:val="249"/>
        </w:trPr>
        <w:tc>
          <w:tcPr>
            <w:tcW w:w="3746" w:type="dxa"/>
            <w:shd w:val="clear" w:color="auto" w:fill="auto"/>
            <w:noWrap/>
            <w:vAlign w:val="bottom"/>
            <w:hideMark/>
          </w:tcPr>
          <w:p w14:paraId="030C6766"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Sinovac</w:t>
            </w:r>
          </w:p>
        </w:tc>
        <w:tc>
          <w:tcPr>
            <w:tcW w:w="741" w:type="dxa"/>
            <w:shd w:val="clear" w:color="auto" w:fill="auto"/>
            <w:noWrap/>
            <w:vAlign w:val="bottom"/>
            <w:hideMark/>
          </w:tcPr>
          <w:p w14:paraId="0DE7597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38%</w:t>
            </w:r>
          </w:p>
        </w:tc>
        <w:tc>
          <w:tcPr>
            <w:tcW w:w="873" w:type="dxa"/>
            <w:shd w:val="clear" w:color="auto" w:fill="auto"/>
            <w:noWrap/>
            <w:vAlign w:val="bottom"/>
            <w:hideMark/>
          </w:tcPr>
          <w:p w14:paraId="7F5F3664"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62%</w:t>
            </w:r>
          </w:p>
        </w:tc>
        <w:tc>
          <w:tcPr>
            <w:tcW w:w="700" w:type="dxa"/>
            <w:shd w:val="clear" w:color="auto" w:fill="auto"/>
            <w:noWrap/>
            <w:vAlign w:val="bottom"/>
            <w:hideMark/>
          </w:tcPr>
          <w:p w14:paraId="02B6923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31%</w:t>
            </w:r>
          </w:p>
        </w:tc>
        <w:tc>
          <w:tcPr>
            <w:tcW w:w="770" w:type="dxa"/>
            <w:shd w:val="clear" w:color="auto" w:fill="auto"/>
            <w:noWrap/>
            <w:vAlign w:val="bottom"/>
            <w:hideMark/>
          </w:tcPr>
          <w:p w14:paraId="3114136F"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69%</w:t>
            </w:r>
          </w:p>
        </w:tc>
        <w:tc>
          <w:tcPr>
            <w:tcW w:w="726" w:type="dxa"/>
            <w:shd w:val="clear" w:color="auto" w:fill="auto"/>
            <w:noWrap/>
            <w:vAlign w:val="bottom"/>
            <w:hideMark/>
          </w:tcPr>
          <w:p w14:paraId="6A3A5FC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68%</w:t>
            </w:r>
          </w:p>
        </w:tc>
        <w:tc>
          <w:tcPr>
            <w:tcW w:w="829" w:type="dxa"/>
            <w:shd w:val="clear" w:color="auto" w:fill="auto"/>
            <w:noWrap/>
            <w:vAlign w:val="bottom"/>
            <w:hideMark/>
          </w:tcPr>
          <w:p w14:paraId="5C79D0C0"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32%</w:t>
            </w:r>
          </w:p>
        </w:tc>
        <w:tc>
          <w:tcPr>
            <w:tcW w:w="809" w:type="dxa"/>
            <w:shd w:val="clear" w:color="auto" w:fill="auto"/>
            <w:noWrap/>
            <w:vAlign w:val="bottom"/>
            <w:hideMark/>
          </w:tcPr>
          <w:p w14:paraId="484A461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89%</w:t>
            </w:r>
          </w:p>
        </w:tc>
        <w:tc>
          <w:tcPr>
            <w:tcW w:w="781" w:type="dxa"/>
            <w:shd w:val="clear" w:color="auto" w:fill="auto"/>
            <w:noWrap/>
            <w:vAlign w:val="bottom"/>
            <w:hideMark/>
          </w:tcPr>
          <w:p w14:paraId="646EDEB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11%</w:t>
            </w:r>
          </w:p>
        </w:tc>
      </w:tr>
      <w:tr w:rsidR="00D43ECF" w:rsidRPr="00D43ECF" w14:paraId="3287B04D" w14:textId="77777777" w:rsidTr="00D43ECF">
        <w:trPr>
          <w:trHeight w:val="249"/>
        </w:trPr>
        <w:tc>
          <w:tcPr>
            <w:tcW w:w="3746" w:type="dxa"/>
            <w:shd w:val="clear" w:color="auto" w:fill="auto"/>
            <w:noWrap/>
            <w:vAlign w:val="bottom"/>
            <w:hideMark/>
          </w:tcPr>
          <w:p w14:paraId="5FB11E61"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Pfizer</w:t>
            </w:r>
          </w:p>
        </w:tc>
        <w:tc>
          <w:tcPr>
            <w:tcW w:w="741" w:type="dxa"/>
            <w:shd w:val="clear" w:color="auto" w:fill="auto"/>
            <w:noWrap/>
            <w:vAlign w:val="bottom"/>
            <w:hideMark/>
          </w:tcPr>
          <w:p w14:paraId="28E74CA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30%</w:t>
            </w:r>
          </w:p>
        </w:tc>
        <w:tc>
          <w:tcPr>
            <w:tcW w:w="873" w:type="dxa"/>
            <w:shd w:val="clear" w:color="auto" w:fill="auto"/>
            <w:noWrap/>
            <w:vAlign w:val="bottom"/>
            <w:hideMark/>
          </w:tcPr>
          <w:p w14:paraId="4C754FB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70%</w:t>
            </w:r>
          </w:p>
        </w:tc>
        <w:tc>
          <w:tcPr>
            <w:tcW w:w="700" w:type="dxa"/>
            <w:shd w:val="clear" w:color="auto" w:fill="auto"/>
            <w:noWrap/>
            <w:vAlign w:val="bottom"/>
            <w:hideMark/>
          </w:tcPr>
          <w:p w14:paraId="4B808C54"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13%</w:t>
            </w:r>
          </w:p>
        </w:tc>
        <w:tc>
          <w:tcPr>
            <w:tcW w:w="770" w:type="dxa"/>
            <w:shd w:val="clear" w:color="auto" w:fill="auto"/>
            <w:noWrap/>
            <w:vAlign w:val="bottom"/>
            <w:hideMark/>
          </w:tcPr>
          <w:p w14:paraId="1D9452B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87%</w:t>
            </w:r>
          </w:p>
        </w:tc>
        <w:tc>
          <w:tcPr>
            <w:tcW w:w="726" w:type="dxa"/>
            <w:shd w:val="clear" w:color="auto" w:fill="auto"/>
            <w:noWrap/>
            <w:vAlign w:val="bottom"/>
            <w:hideMark/>
          </w:tcPr>
          <w:p w14:paraId="5E3665B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26%</w:t>
            </w:r>
          </w:p>
        </w:tc>
        <w:tc>
          <w:tcPr>
            <w:tcW w:w="829" w:type="dxa"/>
            <w:shd w:val="clear" w:color="auto" w:fill="auto"/>
            <w:noWrap/>
            <w:vAlign w:val="bottom"/>
            <w:hideMark/>
          </w:tcPr>
          <w:p w14:paraId="67E9D807"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74%</w:t>
            </w:r>
          </w:p>
        </w:tc>
        <w:tc>
          <w:tcPr>
            <w:tcW w:w="809" w:type="dxa"/>
            <w:shd w:val="clear" w:color="auto" w:fill="auto"/>
            <w:noWrap/>
            <w:vAlign w:val="bottom"/>
            <w:hideMark/>
          </w:tcPr>
          <w:p w14:paraId="1111729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78%</w:t>
            </w:r>
          </w:p>
        </w:tc>
        <w:tc>
          <w:tcPr>
            <w:tcW w:w="781" w:type="dxa"/>
            <w:shd w:val="clear" w:color="auto" w:fill="auto"/>
            <w:noWrap/>
            <w:vAlign w:val="bottom"/>
            <w:hideMark/>
          </w:tcPr>
          <w:p w14:paraId="6566C45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22%</w:t>
            </w:r>
          </w:p>
        </w:tc>
      </w:tr>
      <w:tr w:rsidR="00D43ECF" w:rsidRPr="00D43ECF" w14:paraId="1C2A6320" w14:textId="77777777" w:rsidTr="00D43ECF">
        <w:trPr>
          <w:trHeight w:val="249"/>
        </w:trPr>
        <w:tc>
          <w:tcPr>
            <w:tcW w:w="3746" w:type="dxa"/>
            <w:shd w:val="clear" w:color="auto" w:fill="auto"/>
            <w:noWrap/>
            <w:vAlign w:val="bottom"/>
            <w:hideMark/>
          </w:tcPr>
          <w:p w14:paraId="1A833A44"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Pfizer + Pfizer + Pfizer</w:t>
            </w:r>
          </w:p>
        </w:tc>
        <w:tc>
          <w:tcPr>
            <w:tcW w:w="741" w:type="dxa"/>
            <w:shd w:val="clear" w:color="auto" w:fill="auto"/>
            <w:noWrap/>
            <w:vAlign w:val="bottom"/>
            <w:hideMark/>
          </w:tcPr>
          <w:p w14:paraId="375EF056"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22%</w:t>
            </w:r>
          </w:p>
        </w:tc>
        <w:tc>
          <w:tcPr>
            <w:tcW w:w="873" w:type="dxa"/>
            <w:shd w:val="clear" w:color="auto" w:fill="auto"/>
            <w:noWrap/>
            <w:vAlign w:val="bottom"/>
            <w:hideMark/>
          </w:tcPr>
          <w:p w14:paraId="5036DE7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78%</w:t>
            </w:r>
          </w:p>
        </w:tc>
        <w:tc>
          <w:tcPr>
            <w:tcW w:w="700" w:type="dxa"/>
            <w:shd w:val="clear" w:color="auto" w:fill="auto"/>
            <w:noWrap/>
            <w:vAlign w:val="bottom"/>
            <w:hideMark/>
          </w:tcPr>
          <w:p w14:paraId="64018984"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13%</w:t>
            </w:r>
          </w:p>
        </w:tc>
        <w:tc>
          <w:tcPr>
            <w:tcW w:w="770" w:type="dxa"/>
            <w:shd w:val="clear" w:color="auto" w:fill="auto"/>
            <w:noWrap/>
            <w:vAlign w:val="bottom"/>
            <w:hideMark/>
          </w:tcPr>
          <w:p w14:paraId="2A058AAF"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87%</w:t>
            </w:r>
          </w:p>
        </w:tc>
        <w:tc>
          <w:tcPr>
            <w:tcW w:w="726" w:type="dxa"/>
            <w:shd w:val="clear" w:color="auto" w:fill="auto"/>
            <w:noWrap/>
            <w:vAlign w:val="bottom"/>
            <w:hideMark/>
          </w:tcPr>
          <w:p w14:paraId="31A62D7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35%</w:t>
            </w:r>
          </w:p>
        </w:tc>
        <w:tc>
          <w:tcPr>
            <w:tcW w:w="829" w:type="dxa"/>
            <w:shd w:val="clear" w:color="auto" w:fill="auto"/>
            <w:noWrap/>
            <w:vAlign w:val="bottom"/>
            <w:hideMark/>
          </w:tcPr>
          <w:p w14:paraId="4F2B42E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65%</w:t>
            </w:r>
          </w:p>
        </w:tc>
        <w:tc>
          <w:tcPr>
            <w:tcW w:w="809" w:type="dxa"/>
            <w:shd w:val="clear" w:color="auto" w:fill="auto"/>
            <w:noWrap/>
            <w:vAlign w:val="bottom"/>
            <w:hideMark/>
          </w:tcPr>
          <w:p w14:paraId="49B1E6B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65%</w:t>
            </w:r>
          </w:p>
        </w:tc>
        <w:tc>
          <w:tcPr>
            <w:tcW w:w="781" w:type="dxa"/>
            <w:shd w:val="clear" w:color="auto" w:fill="auto"/>
            <w:noWrap/>
            <w:vAlign w:val="bottom"/>
            <w:hideMark/>
          </w:tcPr>
          <w:p w14:paraId="48EBE12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35%</w:t>
            </w:r>
          </w:p>
        </w:tc>
      </w:tr>
      <w:tr w:rsidR="00D43ECF" w:rsidRPr="00D43ECF" w14:paraId="78AB76AA" w14:textId="77777777" w:rsidTr="00D43ECF">
        <w:trPr>
          <w:trHeight w:val="249"/>
        </w:trPr>
        <w:tc>
          <w:tcPr>
            <w:tcW w:w="3746" w:type="dxa"/>
            <w:shd w:val="clear" w:color="auto" w:fill="auto"/>
            <w:noWrap/>
            <w:vAlign w:val="bottom"/>
            <w:hideMark/>
          </w:tcPr>
          <w:p w14:paraId="21298C0F" w14:textId="77777777" w:rsidR="00D43ECF" w:rsidRPr="00D43ECF" w:rsidRDefault="00D43ECF" w:rsidP="00D43ECF">
            <w:pPr>
              <w:spacing w:line="334" w:lineRule="auto"/>
              <w:contextualSpacing/>
              <w:rPr>
                <w:rFonts w:ascii="Arial" w:hAnsi="Arial" w:cs="Arial"/>
                <w:iCs/>
                <w:sz w:val="16"/>
                <w:szCs w:val="16"/>
              </w:rPr>
            </w:pPr>
            <w:proofErr w:type="spellStart"/>
            <w:r w:rsidRPr="00D43ECF">
              <w:rPr>
                <w:rFonts w:ascii="Arial" w:hAnsi="Arial" w:cs="Arial"/>
                <w:iCs/>
                <w:sz w:val="16"/>
                <w:szCs w:val="16"/>
              </w:rPr>
              <w:t>Astrazeneca</w:t>
            </w:r>
            <w:proofErr w:type="spellEnd"/>
            <w:r w:rsidRPr="00D43ECF">
              <w:rPr>
                <w:rFonts w:ascii="Arial" w:hAnsi="Arial" w:cs="Arial"/>
                <w:iCs/>
                <w:sz w:val="16"/>
                <w:szCs w:val="16"/>
              </w:rPr>
              <w:t xml:space="preserve"> + </w:t>
            </w:r>
            <w:proofErr w:type="spellStart"/>
            <w:r w:rsidRPr="00D43ECF">
              <w:rPr>
                <w:rFonts w:ascii="Arial" w:hAnsi="Arial" w:cs="Arial"/>
                <w:iCs/>
                <w:sz w:val="16"/>
                <w:szCs w:val="16"/>
              </w:rPr>
              <w:t>Astrazeneca</w:t>
            </w:r>
            <w:proofErr w:type="spellEnd"/>
            <w:r w:rsidRPr="00D43ECF">
              <w:rPr>
                <w:rFonts w:ascii="Arial" w:hAnsi="Arial" w:cs="Arial"/>
                <w:iCs/>
                <w:sz w:val="16"/>
                <w:szCs w:val="16"/>
              </w:rPr>
              <w:t xml:space="preserve"> + Pfizer</w:t>
            </w:r>
          </w:p>
        </w:tc>
        <w:tc>
          <w:tcPr>
            <w:tcW w:w="741" w:type="dxa"/>
            <w:shd w:val="clear" w:color="auto" w:fill="auto"/>
            <w:noWrap/>
            <w:vAlign w:val="bottom"/>
            <w:hideMark/>
          </w:tcPr>
          <w:p w14:paraId="51EECF3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16%</w:t>
            </w:r>
          </w:p>
        </w:tc>
        <w:tc>
          <w:tcPr>
            <w:tcW w:w="873" w:type="dxa"/>
            <w:shd w:val="clear" w:color="auto" w:fill="auto"/>
            <w:noWrap/>
            <w:vAlign w:val="bottom"/>
            <w:hideMark/>
          </w:tcPr>
          <w:p w14:paraId="5190AB40"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84%</w:t>
            </w:r>
          </w:p>
        </w:tc>
        <w:tc>
          <w:tcPr>
            <w:tcW w:w="700" w:type="dxa"/>
            <w:shd w:val="clear" w:color="auto" w:fill="auto"/>
            <w:noWrap/>
            <w:vAlign w:val="bottom"/>
            <w:hideMark/>
          </w:tcPr>
          <w:p w14:paraId="3606A58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11%</w:t>
            </w:r>
          </w:p>
        </w:tc>
        <w:tc>
          <w:tcPr>
            <w:tcW w:w="770" w:type="dxa"/>
            <w:shd w:val="clear" w:color="auto" w:fill="auto"/>
            <w:noWrap/>
            <w:vAlign w:val="bottom"/>
            <w:hideMark/>
          </w:tcPr>
          <w:p w14:paraId="3808AF0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89%</w:t>
            </w:r>
          </w:p>
        </w:tc>
        <w:tc>
          <w:tcPr>
            <w:tcW w:w="726" w:type="dxa"/>
            <w:shd w:val="clear" w:color="auto" w:fill="auto"/>
            <w:noWrap/>
            <w:vAlign w:val="bottom"/>
            <w:hideMark/>
          </w:tcPr>
          <w:p w14:paraId="402FF6A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42%</w:t>
            </w:r>
          </w:p>
        </w:tc>
        <w:tc>
          <w:tcPr>
            <w:tcW w:w="829" w:type="dxa"/>
            <w:shd w:val="clear" w:color="auto" w:fill="auto"/>
            <w:noWrap/>
            <w:vAlign w:val="bottom"/>
            <w:hideMark/>
          </w:tcPr>
          <w:p w14:paraId="0B169E0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58%</w:t>
            </w:r>
          </w:p>
        </w:tc>
        <w:tc>
          <w:tcPr>
            <w:tcW w:w="809" w:type="dxa"/>
            <w:shd w:val="clear" w:color="auto" w:fill="auto"/>
            <w:noWrap/>
            <w:vAlign w:val="bottom"/>
            <w:hideMark/>
          </w:tcPr>
          <w:p w14:paraId="7DB9CE0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74%</w:t>
            </w:r>
          </w:p>
        </w:tc>
        <w:tc>
          <w:tcPr>
            <w:tcW w:w="781" w:type="dxa"/>
            <w:shd w:val="clear" w:color="auto" w:fill="auto"/>
            <w:noWrap/>
            <w:vAlign w:val="bottom"/>
            <w:hideMark/>
          </w:tcPr>
          <w:p w14:paraId="5C20FD8A"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26%</w:t>
            </w:r>
          </w:p>
        </w:tc>
      </w:tr>
      <w:tr w:rsidR="00D43ECF" w:rsidRPr="00D43ECF" w14:paraId="2AB89A5B" w14:textId="77777777" w:rsidTr="00D43ECF">
        <w:trPr>
          <w:trHeight w:val="249"/>
        </w:trPr>
        <w:tc>
          <w:tcPr>
            <w:tcW w:w="3746" w:type="dxa"/>
            <w:shd w:val="clear" w:color="auto" w:fill="auto"/>
            <w:noWrap/>
            <w:vAlign w:val="bottom"/>
            <w:hideMark/>
          </w:tcPr>
          <w:p w14:paraId="64F4484C"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Moderna + Moderna + Pfizer</w:t>
            </w:r>
          </w:p>
        </w:tc>
        <w:tc>
          <w:tcPr>
            <w:tcW w:w="741" w:type="dxa"/>
            <w:shd w:val="clear" w:color="auto" w:fill="auto"/>
            <w:noWrap/>
            <w:vAlign w:val="bottom"/>
            <w:hideMark/>
          </w:tcPr>
          <w:p w14:paraId="0A86853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c>
          <w:tcPr>
            <w:tcW w:w="873" w:type="dxa"/>
            <w:shd w:val="clear" w:color="auto" w:fill="auto"/>
            <w:noWrap/>
            <w:vAlign w:val="bottom"/>
            <w:hideMark/>
          </w:tcPr>
          <w:p w14:paraId="65B1879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00" w:type="dxa"/>
            <w:shd w:val="clear" w:color="auto" w:fill="auto"/>
            <w:noWrap/>
            <w:vAlign w:val="bottom"/>
            <w:hideMark/>
          </w:tcPr>
          <w:p w14:paraId="66AC7CC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13%</w:t>
            </w:r>
          </w:p>
        </w:tc>
        <w:tc>
          <w:tcPr>
            <w:tcW w:w="770" w:type="dxa"/>
            <w:shd w:val="clear" w:color="auto" w:fill="auto"/>
            <w:noWrap/>
            <w:vAlign w:val="bottom"/>
            <w:hideMark/>
          </w:tcPr>
          <w:p w14:paraId="023CE4D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88%</w:t>
            </w:r>
          </w:p>
        </w:tc>
        <w:tc>
          <w:tcPr>
            <w:tcW w:w="726" w:type="dxa"/>
            <w:shd w:val="clear" w:color="auto" w:fill="auto"/>
            <w:noWrap/>
            <w:vAlign w:val="bottom"/>
            <w:hideMark/>
          </w:tcPr>
          <w:p w14:paraId="75231B0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25%</w:t>
            </w:r>
          </w:p>
        </w:tc>
        <w:tc>
          <w:tcPr>
            <w:tcW w:w="829" w:type="dxa"/>
            <w:shd w:val="clear" w:color="auto" w:fill="auto"/>
            <w:noWrap/>
            <w:vAlign w:val="bottom"/>
            <w:hideMark/>
          </w:tcPr>
          <w:p w14:paraId="5ED124C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75%</w:t>
            </w:r>
          </w:p>
        </w:tc>
        <w:tc>
          <w:tcPr>
            <w:tcW w:w="809" w:type="dxa"/>
            <w:shd w:val="clear" w:color="auto" w:fill="auto"/>
            <w:noWrap/>
            <w:vAlign w:val="bottom"/>
            <w:hideMark/>
          </w:tcPr>
          <w:p w14:paraId="187DB90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25%</w:t>
            </w:r>
          </w:p>
        </w:tc>
        <w:tc>
          <w:tcPr>
            <w:tcW w:w="781" w:type="dxa"/>
            <w:shd w:val="clear" w:color="auto" w:fill="auto"/>
            <w:noWrap/>
            <w:vAlign w:val="bottom"/>
            <w:hideMark/>
          </w:tcPr>
          <w:p w14:paraId="2A30BC6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75%</w:t>
            </w:r>
          </w:p>
        </w:tc>
      </w:tr>
      <w:tr w:rsidR="00D43ECF" w:rsidRPr="00D43ECF" w14:paraId="4775BC59" w14:textId="77777777" w:rsidTr="00D43ECF">
        <w:trPr>
          <w:trHeight w:val="249"/>
        </w:trPr>
        <w:tc>
          <w:tcPr>
            <w:tcW w:w="3746" w:type="dxa"/>
            <w:shd w:val="clear" w:color="auto" w:fill="auto"/>
            <w:noWrap/>
            <w:vAlign w:val="bottom"/>
            <w:hideMark/>
          </w:tcPr>
          <w:p w14:paraId="07064DDC"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Sinovac + Sinovac</w:t>
            </w:r>
          </w:p>
        </w:tc>
        <w:tc>
          <w:tcPr>
            <w:tcW w:w="741" w:type="dxa"/>
            <w:shd w:val="clear" w:color="auto" w:fill="auto"/>
            <w:noWrap/>
            <w:vAlign w:val="bottom"/>
            <w:hideMark/>
          </w:tcPr>
          <w:p w14:paraId="17E5984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30%</w:t>
            </w:r>
          </w:p>
        </w:tc>
        <w:tc>
          <w:tcPr>
            <w:tcW w:w="873" w:type="dxa"/>
            <w:shd w:val="clear" w:color="auto" w:fill="auto"/>
            <w:noWrap/>
            <w:vAlign w:val="bottom"/>
            <w:hideMark/>
          </w:tcPr>
          <w:p w14:paraId="5E0F03A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70%</w:t>
            </w:r>
          </w:p>
        </w:tc>
        <w:tc>
          <w:tcPr>
            <w:tcW w:w="700" w:type="dxa"/>
            <w:shd w:val="clear" w:color="auto" w:fill="auto"/>
            <w:noWrap/>
            <w:vAlign w:val="bottom"/>
            <w:hideMark/>
          </w:tcPr>
          <w:p w14:paraId="010CECA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20%</w:t>
            </w:r>
          </w:p>
        </w:tc>
        <w:tc>
          <w:tcPr>
            <w:tcW w:w="770" w:type="dxa"/>
            <w:shd w:val="clear" w:color="auto" w:fill="auto"/>
            <w:noWrap/>
            <w:vAlign w:val="bottom"/>
            <w:hideMark/>
          </w:tcPr>
          <w:p w14:paraId="67E060B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80%</w:t>
            </w:r>
          </w:p>
        </w:tc>
        <w:tc>
          <w:tcPr>
            <w:tcW w:w="726" w:type="dxa"/>
            <w:shd w:val="clear" w:color="auto" w:fill="auto"/>
            <w:noWrap/>
            <w:vAlign w:val="bottom"/>
            <w:hideMark/>
          </w:tcPr>
          <w:p w14:paraId="25EC4632"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40%</w:t>
            </w:r>
          </w:p>
        </w:tc>
        <w:tc>
          <w:tcPr>
            <w:tcW w:w="829" w:type="dxa"/>
            <w:shd w:val="clear" w:color="auto" w:fill="auto"/>
            <w:noWrap/>
            <w:vAlign w:val="bottom"/>
            <w:hideMark/>
          </w:tcPr>
          <w:p w14:paraId="744DC40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60%</w:t>
            </w:r>
          </w:p>
        </w:tc>
        <w:tc>
          <w:tcPr>
            <w:tcW w:w="809" w:type="dxa"/>
            <w:shd w:val="clear" w:color="auto" w:fill="auto"/>
            <w:noWrap/>
            <w:vAlign w:val="bottom"/>
            <w:hideMark/>
          </w:tcPr>
          <w:p w14:paraId="6667296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80%</w:t>
            </w:r>
          </w:p>
        </w:tc>
        <w:tc>
          <w:tcPr>
            <w:tcW w:w="781" w:type="dxa"/>
            <w:shd w:val="clear" w:color="auto" w:fill="auto"/>
            <w:noWrap/>
            <w:vAlign w:val="bottom"/>
            <w:hideMark/>
          </w:tcPr>
          <w:p w14:paraId="1EABFF8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20%</w:t>
            </w:r>
          </w:p>
        </w:tc>
      </w:tr>
      <w:tr w:rsidR="00D43ECF" w:rsidRPr="00D43ECF" w14:paraId="135AEA49" w14:textId="77777777" w:rsidTr="00D43ECF">
        <w:trPr>
          <w:trHeight w:val="249"/>
        </w:trPr>
        <w:tc>
          <w:tcPr>
            <w:tcW w:w="3746" w:type="dxa"/>
            <w:shd w:val="clear" w:color="auto" w:fill="auto"/>
            <w:noWrap/>
            <w:vAlign w:val="bottom"/>
            <w:hideMark/>
          </w:tcPr>
          <w:p w14:paraId="0AC77CED"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Pfizer + Pfizer</w:t>
            </w:r>
          </w:p>
        </w:tc>
        <w:tc>
          <w:tcPr>
            <w:tcW w:w="741" w:type="dxa"/>
            <w:shd w:val="clear" w:color="auto" w:fill="auto"/>
            <w:noWrap/>
            <w:vAlign w:val="bottom"/>
            <w:hideMark/>
          </w:tcPr>
          <w:p w14:paraId="2210345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c>
          <w:tcPr>
            <w:tcW w:w="873" w:type="dxa"/>
            <w:shd w:val="clear" w:color="auto" w:fill="auto"/>
            <w:noWrap/>
            <w:vAlign w:val="bottom"/>
            <w:hideMark/>
          </w:tcPr>
          <w:p w14:paraId="62B5AA5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00" w:type="dxa"/>
            <w:shd w:val="clear" w:color="auto" w:fill="auto"/>
            <w:noWrap/>
            <w:vAlign w:val="bottom"/>
            <w:hideMark/>
          </w:tcPr>
          <w:p w14:paraId="6E542A7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w:t>
            </w:r>
          </w:p>
        </w:tc>
        <w:tc>
          <w:tcPr>
            <w:tcW w:w="770" w:type="dxa"/>
            <w:shd w:val="clear" w:color="auto" w:fill="auto"/>
            <w:noWrap/>
            <w:vAlign w:val="bottom"/>
            <w:hideMark/>
          </w:tcPr>
          <w:p w14:paraId="2DEECC50"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93%</w:t>
            </w:r>
          </w:p>
        </w:tc>
        <w:tc>
          <w:tcPr>
            <w:tcW w:w="726" w:type="dxa"/>
            <w:shd w:val="clear" w:color="auto" w:fill="auto"/>
            <w:noWrap/>
            <w:vAlign w:val="bottom"/>
            <w:hideMark/>
          </w:tcPr>
          <w:p w14:paraId="3D20D6E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36%</w:t>
            </w:r>
          </w:p>
        </w:tc>
        <w:tc>
          <w:tcPr>
            <w:tcW w:w="829" w:type="dxa"/>
            <w:shd w:val="clear" w:color="auto" w:fill="auto"/>
            <w:noWrap/>
            <w:vAlign w:val="bottom"/>
            <w:hideMark/>
          </w:tcPr>
          <w:p w14:paraId="2FE049F6"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64%</w:t>
            </w:r>
          </w:p>
        </w:tc>
        <w:tc>
          <w:tcPr>
            <w:tcW w:w="809" w:type="dxa"/>
            <w:shd w:val="clear" w:color="auto" w:fill="auto"/>
            <w:noWrap/>
            <w:vAlign w:val="bottom"/>
            <w:hideMark/>
          </w:tcPr>
          <w:p w14:paraId="4A821C23"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57%</w:t>
            </w:r>
          </w:p>
        </w:tc>
        <w:tc>
          <w:tcPr>
            <w:tcW w:w="781" w:type="dxa"/>
            <w:shd w:val="clear" w:color="auto" w:fill="auto"/>
            <w:noWrap/>
            <w:vAlign w:val="bottom"/>
            <w:hideMark/>
          </w:tcPr>
          <w:p w14:paraId="7C7E4646"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43%</w:t>
            </w:r>
          </w:p>
        </w:tc>
      </w:tr>
      <w:tr w:rsidR="00D43ECF" w:rsidRPr="00D43ECF" w14:paraId="330E0077" w14:textId="77777777" w:rsidTr="00D43ECF">
        <w:trPr>
          <w:trHeight w:val="249"/>
        </w:trPr>
        <w:tc>
          <w:tcPr>
            <w:tcW w:w="3746" w:type="dxa"/>
            <w:shd w:val="clear" w:color="auto" w:fill="auto"/>
            <w:noWrap/>
            <w:vAlign w:val="bottom"/>
            <w:hideMark/>
          </w:tcPr>
          <w:p w14:paraId="21DAB9EE" w14:textId="77777777" w:rsidR="00D43ECF" w:rsidRPr="00D43ECF" w:rsidRDefault="00D43ECF" w:rsidP="00D43ECF">
            <w:pPr>
              <w:spacing w:line="334" w:lineRule="auto"/>
              <w:contextualSpacing/>
              <w:rPr>
                <w:rFonts w:ascii="Arial" w:hAnsi="Arial" w:cs="Arial"/>
                <w:iCs/>
                <w:sz w:val="16"/>
                <w:szCs w:val="16"/>
              </w:rPr>
            </w:pPr>
            <w:r w:rsidRPr="00D43ECF">
              <w:rPr>
                <w:rFonts w:ascii="Arial" w:hAnsi="Arial" w:cs="Arial"/>
                <w:iCs/>
                <w:sz w:val="16"/>
                <w:szCs w:val="16"/>
              </w:rPr>
              <w:t>Sinovac + Sinovac + Moderna + Pfizer</w:t>
            </w:r>
          </w:p>
        </w:tc>
        <w:tc>
          <w:tcPr>
            <w:tcW w:w="741" w:type="dxa"/>
            <w:shd w:val="clear" w:color="auto" w:fill="auto"/>
            <w:noWrap/>
            <w:vAlign w:val="bottom"/>
            <w:hideMark/>
          </w:tcPr>
          <w:p w14:paraId="5F1B96E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18%</w:t>
            </w:r>
          </w:p>
        </w:tc>
        <w:tc>
          <w:tcPr>
            <w:tcW w:w="873" w:type="dxa"/>
            <w:shd w:val="clear" w:color="auto" w:fill="auto"/>
            <w:noWrap/>
            <w:vAlign w:val="bottom"/>
            <w:hideMark/>
          </w:tcPr>
          <w:p w14:paraId="40792C01"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82%</w:t>
            </w:r>
          </w:p>
        </w:tc>
        <w:tc>
          <w:tcPr>
            <w:tcW w:w="700" w:type="dxa"/>
            <w:shd w:val="clear" w:color="auto" w:fill="auto"/>
            <w:noWrap/>
            <w:vAlign w:val="bottom"/>
            <w:hideMark/>
          </w:tcPr>
          <w:p w14:paraId="039A078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w:t>
            </w:r>
          </w:p>
        </w:tc>
        <w:tc>
          <w:tcPr>
            <w:tcW w:w="770" w:type="dxa"/>
            <w:shd w:val="clear" w:color="auto" w:fill="auto"/>
            <w:noWrap/>
            <w:vAlign w:val="bottom"/>
            <w:hideMark/>
          </w:tcPr>
          <w:p w14:paraId="471F350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94%</w:t>
            </w:r>
          </w:p>
        </w:tc>
        <w:tc>
          <w:tcPr>
            <w:tcW w:w="726" w:type="dxa"/>
            <w:shd w:val="clear" w:color="auto" w:fill="auto"/>
            <w:noWrap/>
            <w:vAlign w:val="bottom"/>
            <w:hideMark/>
          </w:tcPr>
          <w:p w14:paraId="13426B32"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50%</w:t>
            </w:r>
          </w:p>
        </w:tc>
        <w:tc>
          <w:tcPr>
            <w:tcW w:w="829" w:type="dxa"/>
            <w:shd w:val="clear" w:color="auto" w:fill="auto"/>
            <w:noWrap/>
            <w:vAlign w:val="bottom"/>
            <w:hideMark/>
          </w:tcPr>
          <w:p w14:paraId="7617173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50%</w:t>
            </w:r>
          </w:p>
        </w:tc>
        <w:tc>
          <w:tcPr>
            <w:tcW w:w="809" w:type="dxa"/>
            <w:shd w:val="clear" w:color="auto" w:fill="auto"/>
            <w:noWrap/>
            <w:vAlign w:val="bottom"/>
            <w:hideMark/>
          </w:tcPr>
          <w:p w14:paraId="6EE329DE"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79%</w:t>
            </w:r>
          </w:p>
        </w:tc>
        <w:tc>
          <w:tcPr>
            <w:tcW w:w="781" w:type="dxa"/>
            <w:shd w:val="clear" w:color="auto" w:fill="auto"/>
            <w:noWrap/>
            <w:vAlign w:val="bottom"/>
            <w:hideMark/>
          </w:tcPr>
          <w:p w14:paraId="1BCA182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21%</w:t>
            </w:r>
          </w:p>
        </w:tc>
      </w:tr>
      <w:tr w:rsidR="00D43ECF" w:rsidRPr="00D43ECF" w14:paraId="66022031" w14:textId="77777777" w:rsidTr="00D43ECF">
        <w:trPr>
          <w:trHeight w:val="249"/>
        </w:trPr>
        <w:tc>
          <w:tcPr>
            <w:tcW w:w="3746" w:type="dxa"/>
            <w:shd w:val="clear" w:color="auto" w:fill="auto"/>
            <w:noWrap/>
            <w:vAlign w:val="bottom"/>
            <w:hideMark/>
          </w:tcPr>
          <w:p w14:paraId="3B349CB6" w14:textId="77777777" w:rsidR="00D43ECF" w:rsidRPr="00D43ECF" w:rsidRDefault="00D43ECF" w:rsidP="00D43ECF">
            <w:pPr>
              <w:spacing w:line="334" w:lineRule="auto"/>
              <w:contextualSpacing/>
              <w:rPr>
                <w:rFonts w:ascii="Arial" w:hAnsi="Arial" w:cs="Arial"/>
                <w:iCs/>
                <w:sz w:val="16"/>
                <w:szCs w:val="16"/>
              </w:rPr>
            </w:pPr>
            <w:proofErr w:type="spellStart"/>
            <w:r w:rsidRPr="00D43ECF">
              <w:rPr>
                <w:rFonts w:ascii="Arial" w:hAnsi="Arial" w:cs="Arial"/>
                <w:iCs/>
                <w:sz w:val="16"/>
                <w:szCs w:val="16"/>
              </w:rPr>
              <w:t>Astrazeneca</w:t>
            </w:r>
            <w:proofErr w:type="spellEnd"/>
            <w:r w:rsidRPr="00D43ECF">
              <w:rPr>
                <w:rFonts w:ascii="Arial" w:hAnsi="Arial" w:cs="Arial"/>
                <w:iCs/>
                <w:sz w:val="16"/>
                <w:szCs w:val="16"/>
              </w:rPr>
              <w:t xml:space="preserve"> + </w:t>
            </w:r>
            <w:proofErr w:type="spellStart"/>
            <w:r w:rsidRPr="00D43ECF">
              <w:rPr>
                <w:rFonts w:ascii="Arial" w:hAnsi="Arial" w:cs="Arial"/>
                <w:iCs/>
                <w:sz w:val="16"/>
                <w:szCs w:val="16"/>
              </w:rPr>
              <w:t>Astrazeneca</w:t>
            </w:r>
            <w:proofErr w:type="spellEnd"/>
            <w:r w:rsidRPr="00D43ECF">
              <w:rPr>
                <w:rFonts w:ascii="Arial" w:hAnsi="Arial" w:cs="Arial"/>
                <w:iCs/>
                <w:sz w:val="16"/>
                <w:szCs w:val="16"/>
              </w:rPr>
              <w:t xml:space="preserve"> + Pfizer + Pfizer</w:t>
            </w:r>
          </w:p>
        </w:tc>
        <w:tc>
          <w:tcPr>
            <w:tcW w:w="741" w:type="dxa"/>
            <w:shd w:val="clear" w:color="auto" w:fill="auto"/>
            <w:noWrap/>
            <w:hideMark/>
          </w:tcPr>
          <w:p w14:paraId="6C6CD6E5"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c>
          <w:tcPr>
            <w:tcW w:w="873" w:type="dxa"/>
            <w:shd w:val="clear" w:color="auto" w:fill="auto"/>
            <w:noWrap/>
            <w:hideMark/>
          </w:tcPr>
          <w:p w14:paraId="267CF4CC"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00" w:type="dxa"/>
            <w:shd w:val="clear" w:color="auto" w:fill="auto"/>
            <w:noWrap/>
            <w:hideMark/>
          </w:tcPr>
          <w:p w14:paraId="22C7F547"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c>
          <w:tcPr>
            <w:tcW w:w="770" w:type="dxa"/>
            <w:shd w:val="clear" w:color="auto" w:fill="auto"/>
            <w:noWrap/>
            <w:hideMark/>
          </w:tcPr>
          <w:p w14:paraId="6C195CF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26" w:type="dxa"/>
            <w:shd w:val="clear" w:color="auto" w:fill="auto"/>
            <w:noWrap/>
            <w:hideMark/>
          </w:tcPr>
          <w:p w14:paraId="24113898"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67%</w:t>
            </w:r>
          </w:p>
        </w:tc>
        <w:tc>
          <w:tcPr>
            <w:tcW w:w="829" w:type="dxa"/>
            <w:shd w:val="clear" w:color="auto" w:fill="auto"/>
            <w:noWrap/>
            <w:hideMark/>
          </w:tcPr>
          <w:p w14:paraId="43B4DB3D"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33%</w:t>
            </w:r>
          </w:p>
        </w:tc>
        <w:tc>
          <w:tcPr>
            <w:tcW w:w="809" w:type="dxa"/>
            <w:shd w:val="clear" w:color="auto" w:fill="auto"/>
            <w:noWrap/>
            <w:hideMark/>
          </w:tcPr>
          <w:p w14:paraId="0C4B7999"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100%</w:t>
            </w:r>
          </w:p>
        </w:tc>
        <w:tc>
          <w:tcPr>
            <w:tcW w:w="781" w:type="dxa"/>
            <w:shd w:val="clear" w:color="auto" w:fill="auto"/>
            <w:noWrap/>
            <w:hideMark/>
          </w:tcPr>
          <w:p w14:paraId="46848C2B" w14:textId="77777777" w:rsidR="00D43ECF" w:rsidRPr="00D43ECF" w:rsidRDefault="00D43ECF" w:rsidP="00D43ECF">
            <w:pPr>
              <w:spacing w:line="334" w:lineRule="auto"/>
              <w:contextualSpacing/>
              <w:jc w:val="center"/>
              <w:rPr>
                <w:rFonts w:ascii="Arial" w:hAnsi="Arial" w:cs="Arial"/>
                <w:sz w:val="16"/>
                <w:szCs w:val="16"/>
              </w:rPr>
            </w:pPr>
            <w:r w:rsidRPr="00D43ECF">
              <w:rPr>
                <w:rFonts w:ascii="Arial" w:hAnsi="Arial" w:cs="Arial"/>
                <w:sz w:val="16"/>
                <w:szCs w:val="16"/>
              </w:rPr>
              <w:t>0%</w:t>
            </w:r>
          </w:p>
        </w:tc>
      </w:tr>
    </w:tbl>
    <w:p w14:paraId="121A9A03" w14:textId="77777777" w:rsidR="00D43ECF" w:rsidRPr="00D43ECF" w:rsidRDefault="00D43ECF" w:rsidP="00D43ECF">
      <w:pPr>
        <w:rPr>
          <w:rFonts w:ascii="Arial" w:hAnsi="Arial" w:cs="Arial"/>
          <w:sz w:val="20"/>
          <w:szCs w:val="20"/>
        </w:rPr>
      </w:pPr>
    </w:p>
    <w:p w14:paraId="0FC5EA67" w14:textId="77777777" w:rsidR="00D43ECF" w:rsidRDefault="00D43ECF" w:rsidP="00D43ECF">
      <w:pPr>
        <w:tabs>
          <w:tab w:val="left" w:pos="8412"/>
        </w:tabs>
        <w:jc w:val="both"/>
        <w:rPr>
          <w:rFonts w:ascii="Arial" w:hAnsi="Arial" w:cs="Arial"/>
          <w:sz w:val="20"/>
          <w:szCs w:val="20"/>
        </w:rPr>
        <w:sectPr w:rsidR="00D43ECF" w:rsidSect="00D43ECF">
          <w:type w:val="continuous"/>
          <w:pgSz w:w="11906" w:h="16838" w:code="9"/>
          <w:pgMar w:top="1418" w:right="907" w:bottom="868" w:left="964" w:header="709" w:footer="709" w:gutter="0"/>
          <w:cols w:space="708"/>
          <w:titlePg/>
          <w:docGrid w:linePitch="360"/>
        </w:sectPr>
      </w:pPr>
    </w:p>
    <w:p w14:paraId="3C77CD70" w14:textId="77777777" w:rsidR="00D43ECF" w:rsidRDefault="00D43ECF" w:rsidP="00D43ECF">
      <w:pPr>
        <w:spacing w:after="0" w:line="334" w:lineRule="auto"/>
        <w:ind w:firstLine="720"/>
        <w:contextualSpacing/>
        <w:jc w:val="both"/>
        <w:rPr>
          <w:rFonts w:ascii="Arial" w:hAnsi="Arial" w:cs="Arial"/>
          <w:sz w:val="20"/>
        </w:rPr>
      </w:pPr>
      <w:r w:rsidRPr="00D43ECF">
        <w:rPr>
          <w:rStyle w:val="Strong"/>
          <w:rFonts w:ascii="Arial" w:hAnsi="Arial" w:cs="Arial"/>
          <w:color w:val="0E101A"/>
          <w:sz w:val="20"/>
        </w:rPr>
        <w:t xml:space="preserve">Table 6 </w:t>
      </w:r>
      <w:r w:rsidRPr="00D43ECF">
        <w:rPr>
          <w:rFonts w:ascii="Arial" w:hAnsi="Arial" w:cs="Arial"/>
          <w:sz w:val="20"/>
        </w:rPr>
        <w:t xml:space="preserve">shows the relationship between the vaccine combination variations vaccines received by participants and the level of AEFIs. In the first 15 minutes, the combination with the highest percentage of AEFIs was the combination of Moderna + Moderna + Pfizer, Sinovac + Sinovac + Pfizer + Pfizer, </w:t>
      </w:r>
      <w:proofErr w:type="spellStart"/>
      <w:r w:rsidRPr="00D43ECF">
        <w:rPr>
          <w:rFonts w:ascii="Arial" w:hAnsi="Arial" w:cs="Arial"/>
          <w:sz w:val="20"/>
        </w:rPr>
        <w:t>Astrazeneca</w:t>
      </w:r>
      <w:proofErr w:type="spellEnd"/>
      <w:r w:rsidRPr="00D43ECF">
        <w:rPr>
          <w:rFonts w:ascii="Arial" w:hAnsi="Arial" w:cs="Arial"/>
          <w:sz w:val="20"/>
        </w:rPr>
        <w:t xml:space="preserve"> + </w:t>
      </w:r>
      <w:proofErr w:type="spellStart"/>
      <w:r w:rsidRPr="00D43ECF">
        <w:rPr>
          <w:rFonts w:ascii="Arial" w:hAnsi="Arial" w:cs="Arial"/>
          <w:sz w:val="20"/>
        </w:rPr>
        <w:t>Astrazeneca</w:t>
      </w:r>
      <w:proofErr w:type="spellEnd"/>
      <w:r w:rsidRPr="00D43ECF">
        <w:rPr>
          <w:rFonts w:ascii="Arial" w:hAnsi="Arial" w:cs="Arial"/>
          <w:sz w:val="20"/>
        </w:rPr>
        <w:t xml:space="preserve"> + Pfizer + Pfizer in which 100% of participants experienced at least 1 type of AEFIs in the 15 minutes monitoring. Meanwhile, at 15 minutes – 24 hours monitoring, the highest incidence of AEFI was in the combination of the </w:t>
      </w:r>
      <w:proofErr w:type="spellStart"/>
      <w:r w:rsidRPr="00D43ECF">
        <w:rPr>
          <w:rFonts w:ascii="Arial" w:hAnsi="Arial" w:cs="Arial"/>
          <w:sz w:val="20"/>
        </w:rPr>
        <w:t>Astrazeneca</w:t>
      </w:r>
      <w:proofErr w:type="spellEnd"/>
      <w:r w:rsidRPr="00D43ECF">
        <w:rPr>
          <w:rFonts w:ascii="Arial" w:hAnsi="Arial" w:cs="Arial"/>
          <w:sz w:val="20"/>
        </w:rPr>
        <w:t xml:space="preserve"> + </w:t>
      </w:r>
      <w:proofErr w:type="spellStart"/>
      <w:r w:rsidRPr="00D43ECF">
        <w:rPr>
          <w:rFonts w:ascii="Arial" w:hAnsi="Arial" w:cs="Arial"/>
          <w:sz w:val="20"/>
        </w:rPr>
        <w:t>Astrazeneca</w:t>
      </w:r>
      <w:proofErr w:type="spellEnd"/>
      <w:r w:rsidRPr="00D43ECF">
        <w:rPr>
          <w:rFonts w:ascii="Arial" w:hAnsi="Arial" w:cs="Arial"/>
          <w:sz w:val="20"/>
        </w:rPr>
        <w:t xml:space="preserve"> + Pfizer + Pfizer vaccine in which 100% of the participants experienced </w:t>
      </w:r>
      <w:proofErr w:type="spellStart"/>
      <w:r w:rsidRPr="00D43ECF">
        <w:rPr>
          <w:rFonts w:ascii="Arial" w:hAnsi="Arial" w:cs="Arial"/>
          <w:sz w:val="20"/>
        </w:rPr>
        <w:t>AEFis</w:t>
      </w:r>
      <w:proofErr w:type="spellEnd"/>
      <w:r w:rsidRPr="00D43ECF">
        <w:rPr>
          <w:rFonts w:ascii="Arial" w:hAnsi="Arial" w:cs="Arial"/>
          <w:sz w:val="20"/>
        </w:rPr>
        <w:t xml:space="preserve">, followed by the combination of Sinovac + Sinovac + Moderna + Pfizer with AEFI percentage increased from 82% to 94%, and the combination of Sinovac + Sinovac + Pfizer + Pfizer decreased from 100% to 93% participants with least 1 type of AEFIs. In 24-48 hours of monitoring, </w:t>
      </w:r>
      <w:r w:rsidRPr="00D43ECF">
        <w:rPr>
          <w:rFonts w:ascii="Arial" w:hAnsi="Arial" w:cs="Arial"/>
          <w:sz w:val="20"/>
        </w:rPr>
        <w:t>the highest AEFI incidence was in the combination of Sinovac + Sinovac vaccine in which 91% of participants experienced AEFIs. This combination of Sinovac + Sinovac vaccine was higher than other combinations, followed by the combination of Moderna + Moderna + Pfizer and Sinovac + Sinovac + Pfizer with 75% and 74% participants. In 48 hours – 7 days of monitoring, all vaccine combinations had decreased AEFIs. Of all combinations, only the Moderna + Moderna + Pfizer had an AEFI level higher than 50% in which 75% of participants experienced at least 1 type of AEFIs.</w:t>
      </w:r>
    </w:p>
    <w:p w14:paraId="145AA52A" w14:textId="6A5A40E4" w:rsidR="00DB0BE1" w:rsidRDefault="007E17ED" w:rsidP="00D43ECF">
      <w:pPr>
        <w:spacing w:after="0" w:line="334" w:lineRule="auto"/>
        <w:ind w:firstLine="720"/>
        <w:contextualSpacing/>
        <w:jc w:val="both"/>
        <w:rPr>
          <w:rFonts w:ascii="Arial" w:hAnsi="Arial" w:cs="Arial"/>
          <w:sz w:val="20"/>
          <w:szCs w:val="20"/>
        </w:rPr>
      </w:pPr>
      <w:r w:rsidRPr="007E17ED">
        <w:rPr>
          <w:rStyle w:val="Strong"/>
          <w:rFonts w:ascii="Arial" w:hAnsi="Arial" w:cs="Arial"/>
          <w:b w:val="0"/>
          <w:bCs w:val="0"/>
          <w:color w:val="0E101A"/>
          <w:sz w:val="20"/>
          <w:szCs w:val="20"/>
        </w:rPr>
        <w:t>In dealing with AEFI events, some participants used at least 1 type of therapy</w:t>
      </w:r>
      <w:r w:rsidRPr="007E17ED">
        <w:rPr>
          <w:rStyle w:val="Strong"/>
          <w:rFonts w:ascii="Arial" w:hAnsi="Arial" w:cs="Arial"/>
          <w:b w:val="0"/>
          <w:bCs w:val="0"/>
          <w:color w:val="0E101A"/>
          <w:sz w:val="20"/>
          <w:szCs w:val="20"/>
        </w:rPr>
        <w:t xml:space="preserve"> (</w:t>
      </w:r>
      <w:r w:rsidRPr="007E17ED">
        <w:rPr>
          <w:rFonts w:ascii="Arial" w:hAnsi="Arial" w:cs="Arial"/>
          <w:b/>
          <w:bCs/>
          <w:sz w:val="20"/>
          <w:szCs w:val="20"/>
        </w:rPr>
        <w:t>Supplementary</w:t>
      </w:r>
      <w:r w:rsidRPr="007E17ED">
        <w:rPr>
          <w:rFonts w:ascii="Arial" w:hAnsi="Arial" w:cs="Arial"/>
          <w:b/>
          <w:bCs/>
          <w:spacing w:val="2"/>
          <w:sz w:val="20"/>
          <w:szCs w:val="20"/>
        </w:rPr>
        <w:t xml:space="preserve"> </w:t>
      </w:r>
      <w:r w:rsidRPr="007E17ED">
        <w:rPr>
          <w:rFonts w:ascii="Arial" w:hAnsi="Arial" w:cs="Arial"/>
          <w:b/>
          <w:bCs/>
          <w:sz w:val="20"/>
          <w:szCs w:val="20"/>
        </w:rPr>
        <w:t>Data</w:t>
      </w:r>
      <w:r w:rsidRPr="007E17ED">
        <w:rPr>
          <w:rFonts w:ascii="Arial" w:hAnsi="Arial" w:cs="Arial"/>
          <w:b/>
          <w:bCs/>
          <w:sz w:val="20"/>
          <w:szCs w:val="20"/>
        </w:rPr>
        <w:t xml:space="preserve"> 5)</w:t>
      </w:r>
      <w:r w:rsidR="00D43ECF" w:rsidRPr="007E17ED">
        <w:rPr>
          <w:rFonts w:ascii="Arial" w:hAnsi="Arial" w:cs="Arial"/>
          <w:b/>
          <w:bCs/>
          <w:sz w:val="20"/>
          <w:szCs w:val="20"/>
        </w:rPr>
        <w:t>.</w:t>
      </w:r>
      <w:r w:rsidR="00D43ECF" w:rsidRPr="00D43ECF">
        <w:rPr>
          <w:rFonts w:ascii="Arial" w:hAnsi="Arial" w:cs="Arial"/>
          <w:sz w:val="20"/>
        </w:rPr>
        <w:t xml:space="preserve"> In the 15 minutes of monitoring, 2</w:t>
      </w:r>
      <w:r w:rsidR="007666EC">
        <w:rPr>
          <w:rFonts w:ascii="Arial" w:hAnsi="Arial" w:cs="Arial"/>
          <w:sz w:val="20"/>
        </w:rPr>
        <w:t>5</w:t>
      </w:r>
      <w:r w:rsidR="00D43ECF" w:rsidRPr="00D43ECF">
        <w:rPr>
          <w:rFonts w:ascii="Arial" w:hAnsi="Arial" w:cs="Arial"/>
          <w:sz w:val="20"/>
        </w:rPr>
        <w:t xml:space="preserve"> participants used therapy to relieve AEFI. In the 15 minutes - 24 hours, there was an increase in </w:t>
      </w:r>
      <w:r w:rsidR="007666EC">
        <w:rPr>
          <w:rFonts w:ascii="Arial" w:hAnsi="Arial" w:cs="Arial"/>
          <w:sz w:val="20"/>
        </w:rPr>
        <w:t>4</w:t>
      </w:r>
      <w:r w:rsidR="00D43ECF" w:rsidRPr="00D43ECF">
        <w:rPr>
          <w:rFonts w:ascii="Arial" w:hAnsi="Arial" w:cs="Arial"/>
          <w:sz w:val="20"/>
        </w:rPr>
        <w:t xml:space="preserve"> participants who used therapy. </w:t>
      </w:r>
      <w:r w:rsidR="00D43ECF" w:rsidRPr="00D43ECF">
        <w:rPr>
          <w:rFonts w:ascii="Arial" w:hAnsi="Arial" w:cs="Arial"/>
          <w:sz w:val="20"/>
        </w:rPr>
        <w:lastRenderedPageBreak/>
        <w:t xml:space="preserve">Meanwhile, at 24-48 hours monitoring and 48 hours - 7 days monitoring, the participants who used therapy </w:t>
      </w:r>
      <w:r w:rsidR="00D43ECF" w:rsidRPr="00DB0BE1">
        <w:rPr>
          <w:rFonts w:ascii="Arial" w:hAnsi="Arial" w:cs="Arial"/>
          <w:sz w:val="20"/>
          <w:szCs w:val="20"/>
        </w:rPr>
        <w:t xml:space="preserve">decreased by 3 participants at each </w:t>
      </w:r>
      <w:r w:rsidR="00DB0BE1">
        <w:rPr>
          <w:rFonts w:ascii="Arial" w:hAnsi="Arial" w:cs="Arial"/>
          <w:sz w:val="20"/>
          <w:szCs w:val="20"/>
        </w:rPr>
        <w:t xml:space="preserve"> </w:t>
      </w:r>
      <w:r w:rsidR="00DB0BE1" w:rsidRPr="00DB0BE1">
        <w:rPr>
          <w:rFonts w:ascii="Arial" w:hAnsi="Arial" w:cs="Arial"/>
          <w:sz w:val="20"/>
          <w:szCs w:val="20"/>
        </w:rPr>
        <w:t xml:space="preserve">monitoring time. The detailed information is presented in </w:t>
      </w:r>
      <w:r w:rsidR="00DB0BE1" w:rsidRPr="00DB0BE1">
        <w:rPr>
          <w:rFonts w:ascii="Arial" w:hAnsi="Arial" w:cs="Arial"/>
          <w:b/>
          <w:spacing w:val="-1"/>
          <w:w w:val="105"/>
          <w:sz w:val="20"/>
          <w:szCs w:val="20"/>
        </w:rPr>
        <w:t>Supplementary</w:t>
      </w:r>
      <w:r w:rsidR="00DB0BE1" w:rsidRPr="00DB0BE1">
        <w:rPr>
          <w:rFonts w:ascii="Arial" w:hAnsi="Arial" w:cs="Arial"/>
          <w:b/>
          <w:spacing w:val="-11"/>
          <w:w w:val="105"/>
          <w:sz w:val="20"/>
          <w:szCs w:val="20"/>
        </w:rPr>
        <w:t xml:space="preserve"> </w:t>
      </w:r>
      <w:r w:rsidR="00DB0BE1" w:rsidRPr="00DB0BE1">
        <w:rPr>
          <w:rFonts w:ascii="Arial" w:hAnsi="Arial" w:cs="Arial"/>
          <w:b/>
          <w:spacing w:val="-1"/>
          <w:w w:val="105"/>
          <w:sz w:val="20"/>
          <w:szCs w:val="20"/>
        </w:rPr>
        <w:t>Data</w:t>
      </w:r>
      <w:r w:rsidR="00DB0BE1" w:rsidRPr="00DB0BE1">
        <w:rPr>
          <w:rFonts w:ascii="Arial" w:hAnsi="Arial" w:cs="Arial"/>
          <w:b/>
          <w:spacing w:val="-11"/>
          <w:w w:val="105"/>
          <w:sz w:val="20"/>
          <w:szCs w:val="20"/>
        </w:rPr>
        <w:t xml:space="preserve"> </w:t>
      </w:r>
      <w:r w:rsidR="00DB0BE1" w:rsidRPr="00DB0BE1">
        <w:rPr>
          <w:rFonts w:ascii="Arial" w:hAnsi="Arial" w:cs="Arial"/>
          <w:b/>
          <w:spacing w:val="-1"/>
          <w:w w:val="105"/>
          <w:sz w:val="20"/>
          <w:szCs w:val="20"/>
        </w:rPr>
        <w:t>6</w:t>
      </w:r>
      <w:r w:rsidR="00DB0BE1" w:rsidRPr="00DB0BE1">
        <w:rPr>
          <w:rFonts w:ascii="Arial" w:hAnsi="Arial" w:cs="Arial"/>
          <w:sz w:val="20"/>
          <w:szCs w:val="20"/>
        </w:rPr>
        <w:t>.</w:t>
      </w:r>
    </w:p>
    <w:p w14:paraId="23785B86" w14:textId="77777777" w:rsidR="00DB0BE1" w:rsidRDefault="00DB0BE1" w:rsidP="00D43ECF">
      <w:pPr>
        <w:spacing w:after="0" w:line="334" w:lineRule="auto"/>
        <w:ind w:firstLine="720"/>
        <w:contextualSpacing/>
        <w:jc w:val="both"/>
        <w:rPr>
          <w:rFonts w:ascii="Arial" w:hAnsi="Arial" w:cs="Arial"/>
          <w:sz w:val="20"/>
          <w:szCs w:val="20"/>
        </w:rPr>
      </w:pPr>
    </w:p>
    <w:p w14:paraId="4775788B" w14:textId="77777777" w:rsidR="00DB0BE1" w:rsidRPr="00D43ECF" w:rsidRDefault="00DB0BE1" w:rsidP="00DB0BE1">
      <w:pPr>
        <w:spacing w:after="0" w:line="334" w:lineRule="auto"/>
        <w:contextualSpacing/>
        <w:rPr>
          <w:rFonts w:ascii="Arial" w:hAnsi="Arial" w:cs="Arial"/>
          <w:sz w:val="20"/>
          <w:szCs w:val="20"/>
        </w:rPr>
      </w:pPr>
      <w:r w:rsidRPr="00D43ECF">
        <w:rPr>
          <w:rFonts w:ascii="Arial" w:hAnsi="Arial" w:cs="Arial"/>
          <w:b/>
          <w:bCs/>
          <w:color w:val="363435"/>
          <w:sz w:val="20"/>
          <w:szCs w:val="20"/>
        </w:rPr>
        <w:t>DISCUSSION</w:t>
      </w:r>
    </w:p>
    <w:p w14:paraId="009E4571" w14:textId="77777777" w:rsidR="00DB0BE1" w:rsidRPr="00D43ECF" w:rsidRDefault="00DB0BE1" w:rsidP="00DB0BE1">
      <w:pPr>
        <w:spacing w:after="0" w:line="334" w:lineRule="auto"/>
        <w:ind w:firstLine="567"/>
        <w:contextualSpacing/>
        <w:jc w:val="both"/>
        <w:rPr>
          <w:rFonts w:ascii="Arial" w:hAnsi="Arial" w:cs="Arial"/>
          <w:sz w:val="20"/>
        </w:rPr>
      </w:pPr>
      <w:r w:rsidRPr="00D43ECF">
        <w:rPr>
          <w:rFonts w:ascii="Arial" w:hAnsi="Arial" w:cs="Arial"/>
          <w:sz w:val="20"/>
        </w:rPr>
        <w:t>In this study, the highest level of AEFI was found in 15 minutes – 24 hours monitoring in which 215 participants (82%) experienced AEFI. This number increased from the previous monitoring with 197 (75%) participants experiencing AEFI. Then, it decreased within 24-48 hours of monitoring with 133 participants (50%). In the 48 hours-7 days of monitoring, the decline in AEFI was very large with 57 participants (21%) experiencing AEFI. This incident is in line with Mohsin et al who reported an average of only 1-3 days of adverse events  and the study did not identify any examples of serious effects or hospitalizations</w:t>
      </w:r>
      <w:r>
        <w:rPr>
          <w:rFonts w:ascii="Arial" w:hAnsi="Arial" w:cs="Arial"/>
          <w:sz w:val="20"/>
        </w:rPr>
        <w:t xml:space="preserve"> </w:t>
      </w:r>
      <w:r>
        <w:rPr>
          <w:rFonts w:ascii="Arial" w:hAnsi="Arial" w:cs="Arial"/>
          <w:sz w:val="20"/>
        </w:rPr>
        <w:fldChar w:fldCharType="begin" w:fldLock="1"/>
      </w:r>
      <w:r>
        <w:rPr>
          <w:rFonts w:ascii="Arial" w:hAnsi="Arial" w:cs="Arial"/>
          <w:sz w:val="20"/>
        </w:rPr>
        <w:instrText>ADDIN CSL_CITATION {"citationItems":[{"id":"ITEM-1","itemData":{"DOI":"10.1016/j.jvacx.2022.100207","ISSN":"25901362","abstract":"Objective: One of the primary reasons for hesitancy in taking COVID-19 vaccines is the fear of side effects. This study primarily aimed to inspect the potential side effects of the COVID-19 vaccines circulated in Bangladesh. Design and Settings. The study was based on a cross-sectional anonymous online survey conducted in December 2021 across Bangladesh. Participants. The study included consenting Bangladeshi individuals aged 12 and above who had received at least one dose of the COVID-19 vaccines. Main Outcome. Analyses were carried out through exploratory analysis, Chi-square test, and logistic regression to investigate potential side effects of the COVID-19 vaccines. Results: A total of 1,180 vaccinated people participated in the study. Only 39.48% of the participants reported at least one side effect after receiving their COVID-19 vaccine. Injection-site pain, fever, headache, redness/swelling at the injection site, and lethargy were the most commonly reported adverse effects, all of which were mild and lasted 1–3 days. Side effects were most prevalent (about 80%) among individuals who received Pfizer-BioNTech and Moderna vaccines and were least common among those who received Sinopharm and Sinovac vaccines (21%-28%). When compared to the Sinopharm vaccines, the OxfordAstraZeneca, Pfizer-BioNTech, and Moderna vaccines were 4.51 times (95% CI: 2.53–8.04), 5.37 times (95% CI: 2.57–11.22), and 4.28 times (95% CI: 2.28–8.05) likelier to produce side effects. Furthermore, males, those over 50 years old, urban dwellers, smokers, and those with underlying health issues had a considerably increased risk of developing side effects. A lack of confidence in vaccines' efficacy and a substantial level of hesitancy in allowing children (age five years or over) and older people (70 years or over) to receive COVID-19 vaccines were also observed. Conclusion: Side effects of COVID-19 vaccines are minimal, demonstrating their safety. Efforts should be made to disseminate such findings worldwide to increase vaccine uptake.","author":[{"dropping-particle":"","family":"Mohsin","given":"Md","non-dropping-particle":"","parse-names":false,"suffix":""},{"dropping-particle":"","family":"Mahmud","given":"Sultan","non-dropping-particle":"","parse-names":false,"suffix":""},{"dropping-particle":"","family":"Uddin Mian","given":"Ashraf","non-dropping-particle":"","parse-names":false,"suffix":""},{"dropping-particle":"","family":"Hasan","given":"Prottay","non-dropping-particle":"","parse-names":false,"suffix":""},{"dropping-particle":"","family":"Muyeed","given":"Abdul","non-dropping-particle":"","parse-names":false,"suffix":""},{"dropping-particle":"","family":"Taif Ali","given":"Md","non-dropping-particle":"","parse-names":false,"suffix":""},{"dropping-particle":"","family":"Faysal Ahmed","given":"Fee","non-dropping-particle":"","parse-names":false,"suffix":""},{"dropping-particle":"","family":"Islam","given":"Ariful","non-dropping-particle":"","parse-names":false,"suffix":""},{"dropping-particle":"","family":"Maliha Rahman","given":"Maisha","non-dropping-particle":"","parse-names":false,"suffix":""},{"dropping-particle":"","family":"Islam","given":"Mahfuza","non-dropping-particle":"","parse-names":false,"suffix":""},{"dropping-particle":"","family":"Rahaman Khan","given":"Md Hasinur","non-dropping-particle":"","parse-names":false,"suffix":""},{"dropping-particle":"","family":"Shafiqur Rahman","given":"M.","non-dropping-particle":"","parse-names":false,"suffix":""}],"container-title":"Vaccine: X","id":"ITEM-1","issued":{"date-parts":[["2022"]]},"page":"100207","publisher":"The Author(s)","title":"Side effects of COVID-19 vaccines and perceptions about COVID-19 and its vaccines in Bangladesh: A Cross-sectional study","type":"article-journal","volume":"12"},"uris":["http://www.mendeley.com/documents/?uuid=9626a789-e2a6-4655-9965-b5e2d01b5775"]}],"mendeley":{"formattedCitation":"(7)","plainTextFormattedCitation":"(7)","previouslyFormattedCitation":"(7)"},"properties":{"noteIndex":0},"schema":"https://github.com/citation-style-language/schema/raw/master/csl-citation.json"}</w:instrText>
      </w:r>
      <w:r>
        <w:rPr>
          <w:rFonts w:ascii="Arial" w:hAnsi="Arial" w:cs="Arial"/>
          <w:sz w:val="20"/>
        </w:rPr>
        <w:fldChar w:fldCharType="separate"/>
      </w:r>
      <w:r w:rsidRPr="009D3671">
        <w:rPr>
          <w:rFonts w:ascii="Arial" w:hAnsi="Arial" w:cs="Arial"/>
          <w:noProof/>
          <w:sz w:val="20"/>
        </w:rPr>
        <w:t>(7)</w:t>
      </w:r>
      <w:r>
        <w:rPr>
          <w:rFonts w:ascii="Arial" w:hAnsi="Arial" w:cs="Arial"/>
          <w:sz w:val="20"/>
        </w:rPr>
        <w:fldChar w:fldCharType="end"/>
      </w:r>
      <w:r w:rsidRPr="00D43ECF">
        <w:rPr>
          <w:rFonts w:ascii="Arial" w:hAnsi="Arial" w:cs="Arial"/>
          <w:sz w:val="20"/>
        </w:rPr>
        <w:t xml:space="preserve">. Moreover, Lai et al compared AEFI in CoronaVac and Comirnaty vaccines and revealed that the proportion of AEFI reached its peak on the first day after vaccination and gradually decreased </w:t>
      </w:r>
      <w:r>
        <w:rPr>
          <w:rFonts w:ascii="Arial" w:hAnsi="Arial" w:cs="Arial"/>
          <w:sz w:val="20"/>
        </w:rPr>
        <w:fldChar w:fldCharType="begin" w:fldLock="1"/>
      </w:r>
      <w:r>
        <w:rPr>
          <w:rFonts w:ascii="Arial" w:hAnsi="Arial" w:cs="Arial"/>
          <w:sz w:val="20"/>
        </w:rPr>
        <w:instrText>ADDIN CSL_CITATION {"citationItems":[{"id":"ITEM-1","itemData":{"DOI":"10.1016/j.vaccine.2022.01.062","ISSN":"18732518","PMID":"35140013","abstract":"Objective: CoronaVac (Sinovac) Covid-19 vaccine has recently been approved for emergency use by the World Health Organization. However, data on its reactogenicity in real-world settings is scant. This study aimed to compare self-reported post-vaccination adverse reactions between CoronaVac and Comirnaty (Pfizer-BioNTech). Methods: We adopted a prospective cohort study design using online surveys from the day of first-dose vaccination with intensive follow-up through two weeks after the second dose (11 time points). The primary outcome was adverse reactions (any versus none) and secondary outcomes were the sub-categories of adverse reactions (local, systemic, and severe allergic reactions). Potential effect modification across multimorbidity status, older age, and sex was examined. Results: In total, 2,098 participants who were scheduled to complete the 14th-day survey were included, with 46.2% receiving Comirnaty. Retention rate two weeks after the second dose was 81.0% for the CoronaVac group and 83.6% for the Comirnaty group. Throughout the follow-up period, 801 (82.7%) of those receiving Comirnaty and 543 (48.1%) of those receiving CoronaVac reported adverse reactions. Adjusted analysis suggested that compared with Comirnaty, CoronaVac was associated with 83%-reduced odds of any adverse reactions [adjusted odds ratio (AOR) = 0.17, 95% confidence interval (CI) 0.15–0.20], 92%-reduced odds of local adverse reactions (AOR = 0.08, 95% CI 0.06–0.09), and 76%-reduced odds of systemic adverse reactions (AOR = 0.24, 95% CI 0.16–0.28). No significant effect modification was identified. Conclusion: This post-marketing study comparing the reactogenicity of Covid-19 vaccines suggests a lower risk of self-reported adverse reactions following vaccination with CoronaVac compared with Comirnaty.","author":[{"dropping-particle":"","family":"Lai","given":"Francisco Tsz Tsun","non-dropping-particle":"","parse-names":false,"suffix":""},{"dropping-particle":"","family":"Leung","given":"Miriam Tim Yin","non-dropping-particle":"","parse-names":false,"suffix":""},{"dropping-particle":"","family":"Chan","given":"Edward Wai Wa","non-dropping-particle":"","parse-names":false,"suffix":""},{"dropping-particle":"","family":"Huang","given":"Lei","non-dropping-particle":"","parse-names":false,"suffix":""},{"dropping-particle":"","family":"Lau","given":"Lauren Ka Wun","non-dropping-particle":"","parse-names":false,"suffix":""},{"dropping-particle":"","family":"Peng","given":"Kuan","non-dropping-particle":"","parse-names":false,"suffix":""},{"dropping-particle":"","family":"Leung","given":"Janice Ching Nam","non-dropping-particle":"","parse-names":false,"suffix":""},{"dropping-particle":"","family":"Fan","given":"Min","non-dropping-particle":"","parse-names":false,"suffix":""},{"dropping-particle":"","family":"Chen","given":"Kailin","non-dropping-particle":"","parse-names":false,"suffix":""},{"dropping-particle":"","family":"Lum","given":"Dawn Hei","non-dropping-particle":"","parse-names":false,"suffix":""},{"dropping-particle":"","family":"Li","given":"Xue","non-dropping-particle":"","parse-names":false,"suffix":""},{"dropping-particle":"","family":"Chui","given":"Celine Sze Ling","non-dropping-particle":"","parse-names":false,"suffix":""},{"dropping-particle":"","family":"Wan","given":"Eric Yuk Fai","non-dropping-particle":"","parse-names":false,"suffix":""},{"dropping-particle":"","family":"Wong","given":"Carlos King Ho","non-dropping-particle":"","parse-names":false,"suffix":""},{"dropping-particle":"","family":"Lam","given":"Edwin Fung Shing","non-dropping-particle":"","parse-names":false,"suffix":""},{"dropping-particle":"","family":"Cheung","given":"Terence Yung Yan","non-dropping-particle":"","parse-names":false,"suffix":""},{"dropping-particle":"","family":"Cowling","given":"Benjamin John","non-dropping-particle":"","parse-names":false,"suffix":""},{"dropping-particle":"","family":"Wong","given":"Ian Chi Kei","non-dropping-particle":"","parse-names":false,"suffix":""},{"dropping-particle":"","family":"Chan","given":"Esther Wai Yin","non-dropping-particle":"","parse-names":false,"suffix":""}],"container-title":"Vaccine","id":"ITEM-1","issue":"10","issued":{"date-parts":[["2022"]]},"page":"1390-1396","publisher":"Elsevier Ltd","title":"Self-reported reactogenicity of CoronaVac (Sinovac) compared with Comirnaty (Pfizer-BioNTech): A prospective cohort study with intensive monitoring","type":"article-journal","volume":"40"},"uris":["http://www.mendeley.com/documents/?uuid=c86d1e83-6037-44ae-80e3-100068bf3002"]}],"mendeley":{"formattedCitation":"(8)","plainTextFormattedCitation":"(8)","previouslyFormattedCitation":"(8)"},"properties":{"noteIndex":0},"schema":"https://github.com/citation-style-language/schema/raw/master/csl-citation.json"}</w:instrText>
      </w:r>
      <w:r>
        <w:rPr>
          <w:rFonts w:ascii="Arial" w:hAnsi="Arial" w:cs="Arial"/>
          <w:sz w:val="20"/>
        </w:rPr>
        <w:fldChar w:fldCharType="separate"/>
      </w:r>
      <w:r w:rsidRPr="009D3671">
        <w:rPr>
          <w:rFonts w:ascii="Arial" w:hAnsi="Arial" w:cs="Arial"/>
          <w:noProof/>
          <w:sz w:val="20"/>
        </w:rPr>
        <w:t>(8)</w:t>
      </w:r>
      <w:r>
        <w:rPr>
          <w:rFonts w:ascii="Arial" w:hAnsi="Arial" w:cs="Arial"/>
          <w:sz w:val="20"/>
        </w:rPr>
        <w:fldChar w:fldCharType="end"/>
      </w:r>
      <w:r w:rsidRPr="00D43ECF">
        <w:rPr>
          <w:rFonts w:ascii="Arial" w:hAnsi="Arial" w:cs="Arial"/>
          <w:sz w:val="20"/>
        </w:rPr>
        <w:t>.</w:t>
      </w:r>
    </w:p>
    <w:p w14:paraId="52DAA477" w14:textId="77777777" w:rsidR="00DB0BE1" w:rsidRPr="00D43ECF" w:rsidRDefault="00DB0BE1" w:rsidP="00DB0BE1">
      <w:pPr>
        <w:spacing w:after="0" w:line="334" w:lineRule="auto"/>
        <w:ind w:firstLine="567"/>
        <w:contextualSpacing/>
        <w:jc w:val="both"/>
        <w:rPr>
          <w:rFonts w:ascii="Arial" w:hAnsi="Arial" w:cs="Arial"/>
          <w:sz w:val="20"/>
        </w:rPr>
      </w:pPr>
      <w:r w:rsidRPr="00D43ECF">
        <w:rPr>
          <w:rFonts w:ascii="Arial" w:hAnsi="Arial" w:cs="Arial"/>
          <w:sz w:val="20"/>
        </w:rPr>
        <w:t xml:space="preserve">In this study, 130 participants (39.5%) reported discomfort at the injection site, the highest prevalence of AEFI symptoms in the first 15 minutes after immunization. Then, 44 individuals (16.9%) and 70 people (26.8%) reported having myalgia. Phase 3 research from the United States revealed that following the first and second doses of the mRNA-1273 vaccination, systemic and injection site-related side events occurred more frequently in the mRNA-1273 vaccine group than in the placebo group. Additionally, soreness at the injection site is the most prevalent adverse event connected to the site of injection, which is similar with a previous research by </w:t>
      </w:r>
      <w:proofErr w:type="spellStart"/>
      <w:r w:rsidRPr="00D43ECF">
        <w:rPr>
          <w:rFonts w:ascii="Arial" w:hAnsi="Arial" w:cs="Arial"/>
          <w:sz w:val="20"/>
        </w:rPr>
        <w:t>Bostan</w:t>
      </w:r>
      <w:proofErr w:type="spellEnd"/>
      <w:r w:rsidRPr="00D43ECF">
        <w:rPr>
          <w:rFonts w:ascii="Arial" w:hAnsi="Arial" w:cs="Arial"/>
          <w:sz w:val="20"/>
        </w:rPr>
        <w:t xml:space="preserve"> et al. in which a local injection site response was the most often seen side effect </w:t>
      </w:r>
      <w:r>
        <w:rPr>
          <w:rFonts w:ascii="Arial" w:hAnsi="Arial" w:cs="Arial"/>
          <w:sz w:val="20"/>
        </w:rPr>
        <w:fldChar w:fldCharType="begin" w:fldLock="1"/>
      </w:r>
      <w:r>
        <w:rPr>
          <w:rFonts w:ascii="Arial" w:hAnsi="Arial" w:cs="Arial"/>
          <w:sz w:val="20"/>
        </w:rPr>
        <w:instrText>ADDIN CSL_CITATION {"citationItems":[{"id":"ITEM-1","itemData":{"DOI":"10.1111/jocd.15203","ISSN":"14732165","PMID":"35775860","abstract":"Introduction: As Coronavirus disease 19 (COVID-19) still continues to affect humanity worldwide, different types of COVID-19 vaccines are being administered to maintain immunization against COVID-19. As both the inactivated and mRNA vaccines are now being applied prevalently, systemic adverse events along with cutaneous side effects are frequently being reported in the literature. Aim: In our study, we aimed to determine the cutaneous adverse effects of the inactivated (Sinovac-CoronaVac) and mRNA (Pfizer-BioNTech) vaccines in healthcare providers in a tertiary referral hospital. Methods: A web-based survey consisting of 26 questions related to the systemic and cutaneous side effects of the inactivated and mRNA COVID-19 vaccines, was formed. The online questionnaire was spread among the healthcare professionals working in a tertiary referral hospital via common instant messaging groups and e-mail. Findings: A total number of 234 participants were included in the study. One hundred fifty-seven were female whereas 77 were male. The mean age was 31.51 years. Eighty-nine respondents reported to have at least one cutaneous side effect after COVID-19 vaccination. Most commonly observed cutaneous side effects were local injection site reactions. Pfizer-BioNTech vaccine at the first and second doses, was shown to have statistically significantly higher rates of systemic and cutaneous adverse events compared to the Sinovac-CoronaVac vaccine. Results: Our study shows that both inactivated and mRNA COVID-19 vaccines are associated with transient local injection site reactions, no severe systemic or cutaneous adverse events were observed in our study population.","author":[{"dropping-particle":"","family":"Bostan","given":"Ecem","non-dropping-particle":"","parse-names":false,"suffix":""},{"dropping-particle":"","family":"Yel","given":"Beril","non-dropping-particle":"","parse-names":false,"suffix":""},{"dropping-particle":"","family":"Karaduman","given":"Aysen","non-dropping-particle":"","parse-names":false,"suffix":""}],"container-title":"Journal of Cosmetic Dermatology","id":"ITEM-1","issue":"9","issued":{"date-parts":[["2022"]]},"page":"3682-3688","title":"Cutaneous adverse events following 771 doses of the inactivated and mRNA COVID-19 vaccines: A survey study among health care providers","type":"article-journal","volume":"21"},"uris":["http://www.mendeley.com/documents/?uuid=79264f43-57ad-440b-81d6-f58e6f48203f"]}],"mendeley":{"formattedCitation":"(9)","plainTextFormattedCitation":"(9)","previouslyFormattedCitation":"(9)"},"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(9)</w:t>
      </w:r>
      <w:r>
        <w:rPr>
          <w:rFonts w:ascii="Arial" w:hAnsi="Arial" w:cs="Arial"/>
          <w:sz w:val="20"/>
        </w:rPr>
        <w:fldChar w:fldCharType="end"/>
      </w:r>
      <w:r w:rsidRPr="00D43ECF">
        <w:rPr>
          <w:rFonts w:ascii="Arial" w:hAnsi="Arial" w:cs="Arial"/>
          <w:sz w:val="20"/>
        </w:rPr>
        <w:t xml:space="preserve">. In this study, the perceived severity of AEFI was dominated by mild severity, while moderate, severe, and potentially life-threatening occurred in a few cases only. This is consistent with the findings of </w:t>
      </w:r>
      <w:proofErr w:type="spellStart"/>
      <w:r w:rsidRPr="00D43ECF">
        <w:rPr>
          <w:rFonts w:ascii="Arial" w:hAnsi="Arial" w:cs="Arial"/>
          <w:sz w:val="20"/>
        </w:rPr>
        <w:t>Bostan</w:t>
      </w:r>
      <w:proofErr w:type="spellEnd"/>
      <w:r w:rsidRPr="00D43ECF">
        <w:rPr>
          <w:rFonts w:ascii="Arial" w:hAnsi="Arial" w:cs="Arial"/>
          <w:sz w:val="20"/>
        </w:rPr>
        <w:t xml:space="preserve"> et al.. They found that the modest, self-limiting responses to the </w:t>
      </w:r>
      <w:r w:rsidRPr="00D43ECF">
        <w:rPr>
          <w:rFonts w:ascii="Arial" w:hAnsi="Arial" w:cs="Arial"/>
          <w:sz w:val="20"/>
        </w:rPr>
        <w:t xml:space="preserve">Sinovac-CoronaVac and Pfizer-BioNTech COVID-19 vaccines are both systemic and local. No study participants had severe or life-threatening systemic or local side effects that would have stopped them from getting subsequent vaccines </w:t>
      </w:r>
      <w:r>
        <w:rPr>
          <w:rFonts w:ascii="Arial" w:hAnsi="Arial" w:cs="Arial"/>
          <w:sz w:val="20"/>
        </w:rPr>
        <w:fldChar w:fldCharType="begin" w:fldLock="1"/>
      </w:r>
      <w:r>
        <w:rPr>
          <w:rFonts w:ascii="Arial" w:hAnsi="Arial" w:cs="Arial"/>
          <w:sz w:val="20"/>
        </w:rPr>
        <w:instrText>ADDIN CSL_CITATION {"citationItems":[{"id":"ITEM-1","itemData":{"DOI":"10.1111/jocd.15203","ISSN":"14732165","PMID":"35775860","abstract":"Introduction: As Coronavirus disease 19 (COVID-19) still continues to affect humanity worldwide, different types of COVID-19 vaccines are being administered to maintain immunization against COVID-19. As both the inactivated and mRNA vaccines are now being applied prevalently, systemic adverse events along with cutaneous side effects are frequently being reported in the literature. Aim: In our study, we aimed to determine the cutaneous adverse effects of the inactivated (Sinovac-CoronaVac) and mRNA (Pfizer-BioNTech) vaccines in healthcare providers in a tertiary referral hospital. Methods: A web-based survey consisting of 26 questions related to the systemic and cutaneous side effects of the inactivated and mRNA COVID-19 vaccines, was formed. The online questionnaire was spread among the healthcare professionals working in a tertiary referral hospital via common instant messaging groups and e-mail. Findings: A total number of 234 participants were included in the study. One hundred fifty-seven were female whereas 77 were male. The mean age was 31.51 years. Eighty-nine respondents reported to have at least one cutaneous side effect after COVID-19 vaccination. Most commonly observed cutaneous side effects were local injection site reactions. Pfizer-BioNTech vaccine at the first and second doses, was shown to have statistically significantly higher rates of systemic and cutaneous adverse events compared to the Sinovac-CoronaVac vaccine. Results: Our study shows that both inactivated and mRNA COVID-19 vaccines are associated with transient local injection site reactions, no severe systemic or cutaneous adverse events were observed in our study population.","author":[{"dropping-particle":"","family":"Bostan","given":"Ecem","non-dropping-particle":"","parse-names":false,"suffix":""},{"dropping-particle":"","family":"Yel","given":"Beril","non-dropping-particle":"","parse-names":false,"suffix":""},{"dropping-particle":"","family":"Karaduman","given":"Aysen","non-dropping-particle":"","parse-names":false,"suffix":""}],"container-title":"Journal of Cosmetic Dermatology","id":"ITEM-1","issue":"9","issued":{"date-parts":[["2022"]]},"page":"3682-3688","title":"Cutaneous adverse events following 771 doses of the inactivated and mRNA COVID-19 vaccines: A survey study among health care providers","type":"article-journal","volume":"21"},"uris":["http://www.mendeley.com/documents/?uuid=79264f43-57ad-440b-81d6-f58e6f48203f"]}],"mendeley":{"formattedCitation":"(9)","plainTextFormattedCitation":"(9)","previouslyFormattedCitation":"(9)"},"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(9)</w:t>
      </w:r>
      <w:r>
        <w:rPr>
          <w:rFonts w:ascii="Arial" w:hAnsi="Arial" w:cs="Arial"/>
          <w:sz w:val="20"/>
        </w:rPr>
        <w:fldChar w:fldCharType="end"/>
      </w:r>
      <w:r w:rsidRPr="00D43ECF">
        <w:rPr>
          <w:rFonts w:ascii="Arial" w:hAnsi="Arial" w:cs="Arial"/>
          <w:sz w:val="20"/>
        </w:rPr>
        <w:t xml:space="preserve">. The findings of this study are also in line with </w:t>
      </w:r>
      <w:proofErr w:type="spellStart"/>
      <w:r w:rsidRPr="00D43ECF">
        <w:rPr>
          <w:rFonts w:ascii="Arial" w:hAnsi="Arial" w:cs="Arial"/>
          <w:sz w:val="20"/>
        </w:rPr>
        <w:t>Aryal</w:t>
      </w:r>
      <w:proofErr w:type="spellEnd"/>
      <w:r w:rsidRPr="00D43ECF">
        <w:rPr>
          <w:rFonts w:ascii="Arial" w:hAnsi="Arial" w:cs="Arial"/>
          <w:sz w:val="20"/>
        </w:rPr>
        <w:t xml:space="preserve"> et al that the most common local reaction is pain at the injection site and rarely swelling, while the most common systemic reactions are lethargy, headache, and muscle pain. These results align with preliminary safety data analyses carried out in China, Bahrain, Egypt, Jordan, and the United Arab Emirates, which found that injection site pain, rash, swelling, induration, and itching were the most frequently reported local reactions. At the same time, headache, fever, myalgia, fatigue, arthralgia, cough, </w:t>
      </w:r>
      <w:proofErr w:type="spellStart"/>
      <w:r w:rsidRPr="00D43ECF">
        <w:rPr>
          <w:rFonts w:ascii="Arial" w:hAnsi="Arial" w:cs="Arial"/>
          <w:sz w:val="20"/>
        </w:rPr>
        <w:t>dyspnea</w:t>
      </w:r>
      <w:proofErr w:type="spellEnd"/>
      <w:r w:rsidRPr="00D43ECF">
        <w:rPr>
          <w:rFonts w:ascii="Arial" w:hAnsi="Arial" w:cs="Arial"/>
          <w:sz w:val="20"/>
        </w:rPr>
        <w:t xml:space="preserve">, nausea, and </w:t>
      </w:r>
      <w:proofErr w:type="spellStart"/>
      <w:r w:rsidRPr="00D43ECF">
        <w:rPr>
          <w:rFonts w:ascii="Arial" w:hAnsi="Arial" w:cs="Arial"/>
          <w:sz w:val="20"/>
        </w:rPr>
        <w:t>diarrhea</w:t>
      </w:r>
      <w:proofErr w:type="spellEnd"/>
      <w:r w:rsidRPr="00D43ECF">
        <w:rPr>
          <w:rFonts w:ascii="Arial" w:hAnsi="Arial" w:cs="Arial"/>
          <w:sz w:val="20"/>
        </w:rPr>
        <w:t xml:space="preserve"> were the most frequently reported systemic reactions </w:t>
      </w:r>
      <w:r>
        <w:rPr>
          <w:rFonts w:ascii="Arial" w:hAnsi="Arial" w:cs="Arial"/>
          <w:sz w:val="20"/>
        </w:rPr>
        <w:fldChar w:fldCharType="begin" w:fldLock="1"/>
      </w:r>
      <w:r>
        <w:rPr>
          <w:rFonts w:ascii="Arial" w:hAnsi="Arial" w:cs="Arial"/>
          <w:sz w:val="20"/>
        </w:rPr>
        <w:instrText>ADDIN CSL_CITATION {"citationItems":[{"id":"ITEM-1","itemData":{"DOI":"10.3126/jpahs.v8i2.31099","ISSN":"2091-2749","abstract":"Introduction: Various types of COVID 19 vaccine are being used globally to control the current pandemic. Post-licensure surveillance of vaccine is essential to ensure the safety. This study aimed to determine Adverse Events Following Immunization (AEFIs) of China Sinopharm (Vero cell), the inactivated COVID-19 vaccine.\r Method: This is a cross sectional observational study conducted at Patan hospital, Patan Academy of Health Sciences (PAHS) after the approval from IRC. Vaccine recipient between April 7 to April 13 and May 16 to May 25 were contacted through a phone call after 72 h of vaccination to record the AEFIs. Pattern and distribution of AEFIs were analyzed. Ethical approval was taken from PAHS IRC.\r Result: A total of 6142 individual got the first dose of the vaccine and out of them we were able to contact 4574 through phone calls. Of the 4574, only 941 were included for the follow up phone call after the second dose of the vaccine. A total of 1336 AEFIs were reported in 868(19%) first dose vaccine recipients while 147 AFEIs were reported in 105(11.2%) second dose vaccine recipients.  The frequently reported AEFIs were pain at injection site, lethargy, headache, muscle ache and fever. All the AEFIs were mild to moderate in severity. Most of the AEFIs started within 24 h and resolved within 72 h.\r Conclusion: The Sinopharm (Vero cell) vaccine was found to have mild to moderate AEFIs in our study cohort and no case of severe AEFI was identified.","author":[{"dropping-particle":"","family":"Aryal","given":"Sushant","non-dropping-particle":"","parse-names":false,"suffix":""},{"dropping-particle":"","family":"Devbhandari","given":"Ranjan Prasad","non-dropping-particle":"","parse-names":false,"suffix":""},{"dropping-particle":"","family":"Shrestha","given":"Shrijana","non-dropping-particle":"","parse-names":false,"suffix":""},{"dropping-particle":"","family":"Shrestha","given":"Ashis","non-dropping-particle":"","parse-names":false,"suffix":""},{"dropping-particle":"","family":"Rajbhandari","given":"Piyush","non-dropping-particle":"","parse-names":false,"suffix":""},{"dropping-particle":"","family":"Shakya","given":"Tripti","non-dropping-particle":"","parse-names":false,"suffix":""},{"dropping-particle":"","family":"Tuladhar","given":"Shreyashi","non-dropping-particle":"","parse-names":false,"suffix":""},{"dropping-particle":"","family":"Maharjan","given":"Sanjay","non-dropping-particle":"","parse-names":false,"suffix":""},{"dropping-particle":"","family":"Bashyal","given":"Ritu","non-dropping-particle":"","parse-names":false,"suffix":""},{"dropping-particle":"","family":"Suwal","given":"Ranjan","non-dropping-particle":"","parse-names":false,"suffix":""},{"dropping-particle":"","family":"Mishra","given":"Deepshikha","non-dropping-particle":"","parse-names":false,"suffix":""},{"dropping-particle":"","family":"Jha","given":"Rakesh Kumar","non-dropping-particle":"","parse-names":false,"suffix":""}],"container-title":"Journal of Patan Academy of Health Sciences","id":"ITEM-1","issue":"2","issued":{"date-parts":[["2021"]]},"page":"18-24","title":"Adverse events following Sinopharm (Vero Cell), the inactivated COVID-19","type":"article-journal","volume":"8"},"uris":["http://www.mendeley.com/documents/?uuid=2ad79484-4631-4fba-9df3-63ec8e46c039"]}],"mendeley":{"formattedCitation":"(10)","plainTextFormattedCitation":"(10)","previouslyFormattedCitation":"(10)"},"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(10)</w:t>
      </w:r>
      <w:r>
        <w:rPr>
          <w:rFonts w:ascii="Arial" w:hAnsi="Arial" w:cs="Arial"/>
          <w:sz w:val="20"/>
        </w:rPr>
        <w:fldChar w:fldCharType="end"/>
      </w:r>
      <w:r w:rsidRPr="00D43ECF">
        <w:rPr>
          <w:rFonts w:ascii="Arial" w:hAnsi="Arial" w:cs="Arial"/>
          <w:sz w:val="20"/>
        </w:rPr>
        <w:t xml:space="preserve">. Global side effects following COVID-19 vaccination varied by vaccine type, according to research by </w:t>
      </w:r>
      <w:proofErr w:type="spellStart"/>
      <w:r w:rsidRPr="00D43ECF">
        <w:rPr>
          <w:rFonts w:ascii="Arial" w:hAnsi="Arial" w:cs="Arial"/>
          <w:sz w:val="20"/>
        </w:rPr>
        <w:t>Anjorin</w:t>
      </w:r>
      <w:proofErr w:type="spellEnd"/>
      <w:r w:rsidRPr="00D43ECF">
        <w:rPr>
          <w:rFonts w:ascii="Arial" w:hAnsi="Arial" w:cs="Arial"/>
          <w:sz w:val="20"/>
        </w:rPr>
        <w:t xml:space="preserve"> et al. However, the most frequently reported symptoms were fatigue, headache, muscle and joint pain, allergic skin reactions, and chills. Symptoms that appeared several days after vaccination were more frequently light fever, fever, and pain or redness at the injection site </w:t>
      </w:r>
      <w:r>
        <w:rPr>
          <w:rFonts w:ascii="Arial" w:hAnsi="Arial" w:cs="Arial"/>
          <w:sz w:val="20"/>
        </w:rPr>
        <w:fldChar w:fldCharType="begin" w:fldLock="1"/>
      </w:r>
      <w:r>
        <w:rPr>
          <w:rFonts w:ascii="Arial" w:hAnsi="Arial" w:cs="Arial"/>
          <w:sz w:val="20"/>
        </w:rPr>
        <w:instrText>ADDIN CSL_CITATION {"citationItems":[{"id":"ITEM-1","itemData":{"ISBN":"2348020956357","abstract":"Abstract: Local, national, and international health agencies have advocated multi-pronged public health strategies to limit infections and prevent deaths. The availability of safe and effective vac- cines is critical in the control of a pandemic. Several adverse events have been reported globally following reception of different vaccines, with limited or no data from Africa. This cross-sectional epidemiological study investigated adverse events following COVID-19 vaccination in Africans from April–June, 2021 using a structured online questionnaire. Out of 1200 participants recruited, a total of 80.8% (n = 969) respondents from 35 countries, including 22 African countries and 13 countries where Africans live in the diaspora, reported adverse events. Over half of the vaccinees were male (53.0%) and frontline healthcare workers (55.7%), respectively. A total of 15.6% (n = 151) reported previous ex- posure to SARS-CoV-2, while about one-fourth, 24.8% (n = 240), reported different underlying health conditions prior to vaccination. Fatal cases were 5.1% (n = 49), while other significant heterogenous events were reported in three categories: very common, common, and uncommon, with the latter including enlarged lymph nodes 2.4% (n = 23), menstrual disorder 0.5% (n = 5), and increased libido 0.2% (n = 2). The study provided useful data for concerned authorities and institutions to prepare plans that will address issues related to COVID-19 vaccines.","author":[{"dropping-particle":"","family":"Anjorin","given":"Abdulazeez Adeyemi","non-dropping-particle":"","parse-names":false,"suffix":""},{"dropping-particle":"","family":"Odetokun","given":"Ismail A","non-dropping-particle":"","parse-names":false,"suffix":""},{"dropping-particle":"","family":"Nyandwi","given":"Jean Baptiste","non-dropping-particle":"","parse-names":false,"suffix":""},{"dropping-particle":"","family":"Elnadi","given":"Hager","non-dropping-particle":"","parse-names":false,"suffix":""},{"dropping-particle":"","family":"Awiagah","given":"Kwame Sherrif","non-dropping-particle":"","parse-names":false,"suffix":""},{"dropping-particle":"","family":"Eyedo","given":"Joseph","non-dropping-particle":"","parse-names":false,"suffix":""},{"dropping-particle":"","family":"Abioye","given":"Ajibola Ibraheem","non-dropping-particle":"","parse-names":false,"suffix":""},{"dropping-particle":"","family":"Gachara","given":"George","non-dropping-particle":"","parse-names":false,"suffix":""},{"dropping-particle":"","family":"Maisara","given":"Aala Mohmedosman","non-dropping-particle":"","parse-names":false,"suffix":""},{"dropping-particle":"","family":"Razouqi","given":"Youssef","non-dropping-particle":"","parse-names":false,"suffix":""},{"dropping-particle":"","family":"Farah","given":"Mohamed","non-dropping-particle":"","parse-names":false,"suffix":""},{"dropping-particle":"","family":"Mohamud","given":"Yusuf","non-dropping-particle":"","parse-names":false,"suffix":""}],"container-title":"MDPI Vaccines","id":"ITEM-1","issued":{"date-parts":[["2022"]]},"page":"1-18","title":"Public Health Surveillance for Adverse Events Following COVID-19 Vaccination in Africa","type":"article-journal","volume":"10"},"uris":["http://www.mendeley.com/documents/?uuid=ca3e8e5c-1a3b-4789-8214-d1116ea2c36d"]}],"mendeley":{"formattedCitation":"(11)","plainTextFormattedCitation":"(11)","previouslyFormattedCitation":"(11)"},"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(11)</w:t>
      </w:r>
      <w:r>
        <w:rPr>
          <w:rFonts w:ascii="Arial" w:hAnsi="Arial" w:cs="Arial"/>
          <w:sz w:val="20"/>
        </w:rPr>
        <w:fldChar w:fldCharType="end"/>
      </w:r>
      <w:r w:rsidRPr="00D43ECF">
        <w:rPr>
          <w:rFonts w:ascii="Arial" w:hAnsi="Arial" w:cs="Arial"/>
          <w:sz w:val="20"/>
        </w:rPr>
        <w:t>.</w:t>
      </w:r>
    </w:p>
    <w:p w14:paraId="28E44DB6" w14:textId="77777777" w:rsidR="00DB0BE1" w:rsidRPr="00D43ECF" w:rsidRDefault="00DB0BE1" w:rsidP="00DB0BE1">
      <w:pPr>
        <w:spacing w:after="0" w:line="334" w:lineRule="auto"/>
        <w:ind w:firstLine="567"/>
        <w:contextualSpacing/>
        <w:jc w:val="both"/>
        <w:rPr>
          <w:rFonts w:ascii="Arial" w:hAnsi="Arial" w:cs="Arial"/>
          <w:sz w:val="20"/>
        </w:rPr>
      </w:pPr>
      <w:r w:rsidRPr="00D43ECF">
        <w:rPr>
          <w:rFonts w:ascii="Arial" w:hAnsi="Arial" w:cs="Arial"/>
          <w:sz w:val="20"/>
        </w:rPr>
        <w:t xml:space="preserve">Different demographic profiles have been investigated in this study and are associated with existing AEFIs. In this study, the age category was divided into 3 groups. The level of AEFI complaints was dominated by the age group of 17-35 years than 45 years and over. According to Le et al., participants between the ages of 18 and 55 were more likely than participants over 55 to suffer AEFI. Persons between 18 and 55 were 1.9 times more likely than participants over 55 to develop AEFIs  </w:t>
      </w:r>
      <w:r>
        <w:rPr>
          <w:rFonts w:ascii="Arial" w:hAnsi="Arial" w:cs="Arial"/>
          <w:sz w:val="20"/>
        </w:rPr>
        <w:fldChar w:fldCharType="begin" w:fldLock="1"/>
      </w:r>
      <w:r>
        <w:rPr>
          <w:rFonts w:ascii="Arial" w:hAnsi="Arial" w:cs="Arial"/>
          <w:sz w:val="20"/>
        </w:rPr>
        <w:instrText>ADDIN CSL_CITATION {"citationItems":[{"id":"ITEM-1","itemData":{"DOI":"10.3389/fitd.2022.987698","author":[{"dropping-particle":"","family":"Le","given":"Xuan Thi Thanh","non-dropping-particle":"","parse-names":false,"suffix":""},{"dropping-particle":"","family":"Hoang","given":"Quan Long","non-dropping-particle":"","parse-names":false,"suffix":""},{"dropping-particle":"","family":"Ta","given":"Nhung Thi Kim","non-dropping-particle":"","parse-names":false,"suffix":""},{"dropping-particle":"","family":"Pham","given":"Quan Thi","non-dropping-particle":"","parse-names":false,"suffix":""},{"dropping-particle":"","family":"Nguyen","given":"Thao Thanh","non-dropping-particle":"","parse-names":false,"suffix":""},{"dropping-particle":"","family":"Phan","given":"Huong Thi Mai","non-dropping-particle":"","parse-names":false,"suffix":""},{"dropping-particle":"Van","family":"Nguyen","given":"Thanh","non-dropping-particle":"","parse-names":false,"suffix":""},{"dropping-particle":"","family":"Le","given":"Ha Thi Thanh","non-dropping-particle":"","parse-names":false,"suffix":""},{"dropping-particle":"","family":"Nguyen","given":"Nam Thuy","non-dropping-particle":"","parse-names":false,"suffix":""},{"dropping-particle":"","family":"Hoang","given":"Linh Dieu","non-dropping-particle":"","parse-names":false,"suffix":""},{"dropping-particle":"","family":"Luong","given":"Phuong Thi Huyen","non-dropping-particle":"","parse-names":false,"suffix":""},{"dropping-particle":"","family":"An","given":"Lien Hong","non-dropping-particle":"","parse-names":false,"suffix":""},{"dropping-particle":"","family":"Nguyen","given":"Thu Ha","non-dropping-particle":"","parse-names":false,"suffix":""},{"dropping-particle":"","family":"Nguyen","given":"Thinh Thi","non-dropping-particle":"","parse-names":false,"suffix":""},{"dropping-particle":"","family":"Nguyen","given":"Hien Thuy","non-dropping-particle":"","parse-names":false,"suffix":""},{"dropping-particle":"","family":"Le","given":"Huong Thu","non-dropping-particle":"","parse-names":false,"suffix":""},{"dropping-particle":"","family":"Nguyen","given":"Doanh Quoc","non-dropping-particle":"","parse-names":false,"suffix":""},{"dropping-particle":"","family":"Nguyen","given":"Phuong Viet","non-dropping-particle":"","parse-names":false,"suffix":""},{"dropping-particle":"","family":"Nguyen","given":"Tuan Xuan","non-dropping-particle":"","parse-names":false,"suffix":""},{"dropping-particle":"","family":"Do","given":"Toan Thi Thanh","non-dropping-particle":"","parse-names":false,"suffix":""},{"dropping-particle":"","family":"Nguyen","given":"Thang Huu","non-dropping-particle":"","parse-names":false,"suffix":""}],"container-title":"Frontiers in Tropical Diseases","id":"ITEM-1","issue":"September","issued":{"date-parts":[["2022"]]},"page":"1-9","title":"Common adverse events following immunization with the COVID-19 comirnaty vaccine (Pfizer-BioNTech) among adult population in Hanoi, Vietnam, 2021","type":"article-journal","volume":"3"},"uris":["http://www.mendeley.com/documents/?uuid=8534164e-bd35-41fa-9572-d2c15bae6983"]}],"mendeley":{"formattedCitation":"(12)","plainTextFormattedCitation":"(12)","previouslyFormattedCitation":"(12)"},"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(12)</w:t>
      </w:r>
      <w:r>
        <w:rPr>
          <w:rFonts w:ascii="Arial" w:hAnsi="Arial" w:cs="Arial"/>
          <w:sz w:val="20"/>
        </w:rPr>
        <w:fldChar w:fldCharType="end"/>
      </w:r>
      <w:r w:rsidRPr="00D43ECF">
        <w:rPr>
          <w:rFonts w:ascii="Arial" w:hAnsi="Arial" w:cs="Arial"/>
          <w:sz w:val="20"/>
        </w:rPr>
        <w:t xml:space="preserve">. Moreover, this study is also in line with </w:t>
      </w:r>
      <w:proofErr w:type="spellStart"/>
      <w:r w:rsidRPr="00D43ECF">
        <w:rPr>
          <w:rFonts w:ascii="Arial" w:hAnsi="Arial" w:cs="Arial"/>
          <w:sz w:val="20"/>
        </w:rPr>
        <w:t>Parida</w:t>
      </w:r>
      <w:proofErr w:type="spellEnd"/>
      <w:r w:rsidRPr="00D43ECF">
        <w:rPr>
          <w:rFonts w:ascii="Arial" w:hAnsi="Arial" w:cs="Arial"/>
          <w:sz w:val="20"/>
        </w:rPr>
        <w:t xml:space="preserve"> et al that the majority of AEFIs were mild. The most frequent AEFI is now pain at the injection site, followed by fever and myalgia. Younger persons than elders reported AEFIs more frequently. Participants aged 18-29 years (younger) reached 34.6%, while in South India, it was 48.4%, and most AEFIs were reported among the younger age group </w:t>
      </w:r>
      <w:r>
        <w:rPr>
          <w:rFonts w:ascii="Arial" w:hAnsi="Arial" w:cs="Arial"/>
          <w:sz w:val="20"/>
        </w:rPr>
        <w:fldChar w:fldCharType="begin" w:fldLock="1"/>
      </w:r>
      <w:r>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(13)</w:t>
      </w:r>
      <w:r>
        <w:rPr>
          <w:rFonts w:ascii="Arial" w:hAnsi="Arial" w:cs="Arial"/>
          <w:sz w:val="20"/>
        </w:rPr>
        <w:fldChar w:fldCharType="end"/>
      </w:r>
      <w:r w:rsidRPr="00D43ECF">
        <w:rPr>
          <w:rFonts w:ascii="Arial" w:hAnsi="Arial" w:cs="Arial"/>
          <w:sz w:val="20"/>
        </w:rPr>
        <w:t xml:space="preserve">. In comparison to the elder </w:t>
      </w:r>
      <w:r w:rsidRPr="00D43ECF">
        <w:rPr>
          <w:rFonts w:ascii="Arial" w:hAnsi="Arial" w:cs="Arial"/>
          <w:sz w:val="20"/>
        </w:rPr>
        <w:lastRenderedPageBreak/>
        <w:t xml:space="preserve">demographic, </w:t>
      </w:r>
      <w:proofErr w:type="spellStart"/>
      <w:r w:rsidRPr="00D43ECF">
        <w:rPr>
          <w:rFonts w:ascii="Arial" w:hAnsi="Arial" w:cs="Arial"/>
          <w:sz w:val="20"/>
        </w:rPr>
        <w:t>Ripabelli</w:t>
      </w:r>
      <w:proofErr w:type="spellEnd"/>
      <w:r w:rsidRPr="00D43ECF">
        <w:rPr>
          <w:rFonts w:ascii="Arial" w:hAnsi="Arial" w:cs="Arial"/>
          <w:sz w:val="20"/>
        </w:rPr>
        <w:t xml:space="preserve"> noted that adverse effects were recorded by 70% of young persons aged 55. In addition to having a stronger immune system than older people, older people have a reduced capacity to respond effectively to vaccination, as evidenced by a lower frequency of neutralizing antibodies following the Comirnaty vaccination </w:t>
      </w:r>
      <w:r>
        <w:rPr>
          <w:rFonts w:ascii="Arial" w:hAnsi="Arial" w:cs="Arial"/>
          <w:sz w:val="20"/>
        </w:rPr>
        <w:fldChar w:fldCharType="begin" w:fldLock="1"/>
      </w:r>
      <w:r>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Pr>
          <w:rFonts w:ascii="Arial" w:hAnsi="Arial" w:cs="Arial" w:hint="eastAsia"/>
          <w:sz w:val="20"/>
        </w:rPr>
        <w:instrText>≤</w:instrText>
      </w:r>
      <w:r>
        <w:rPr>
          <w:rFonts w:ascii="Arial" w:hAnsi="Arial" w:cs="Arial" w:hint="eastAsia"/>
          <w:sz w:val="20"/>
        </w:rPr>
        <w:instrText xml:space="preserve"> 55 years was a ri</w:instrText>
      </w:r>
      <w:r>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(14)</w:t>
      </w:r>
      <w:r>
        <w:rPr>
          <w:rFonts w:ascii="Arial" w:hAnsi="Arial" w:cs="Arial"/>
          <w:sz w:val="20"/>
        </w:rPr>
        <w:fldChar w:fldCharType="end"/>
      </w:r>
      <w:r w:rsidRPr="00D43ECF">
        <w:rPr>
          <w:rFonts w:ascii="Arial" w:hAnsi="Arial" w:cs="Arial"/>
          <w:sz w:val="20"/>
        </w:rPr>
        <w:t>.</w:t>
      </w:r>
    </w:p>
    <w:p w14:paraId="5986144F" w14:textId="77777777" w:rsidR="00DB0BE1" w:rsidRPr="00D43ECF" w:rsidRDefault="00DB0BE1" w:rsidP="00DB0BE1">
      <w:pPr>
        <w:spacing w:after="0" w:line="334" w:lineRule="auto"/>
        <w:ind w:firstLine="567"/>
        <w:contextualSpacing/>
        <w:jc w:val="both"/>
        <w:rPr>
          <w:rFonts w:ascii="Arial" w:hAnsi="Arial" w:cs="Arial"/>
          <w:sz w:val="20"/>
        </w:rPr>
      </w:pPr>
      <w:r w:rsidRPr="00D43ECF">
        <w:rPr>
          <w:rFonts w:ascii="Arial" w:hAnsi="Arial" w:cs="Arial"/>
          <w:sz w:val="20"/>
        </w:rPr>
        <w:t xml:space="preserve">In this study, the percentage of AEFI incidence was higher in female than in male participants. In the 15 minutes of monitoring, the AEFI in female participants was significantly higher (p=0.009) compared to that in males. It also occurs in the 15-24-hours monitoring (p=0.002), 24-48 hours monitoring, and 48 hours -7 days monitoring which significantly differs (p&lt;0.001 &amp; p=0.050). This is in line with </w:t>
      </w:r>
      <w:proofErr w:type="spellStart"/>
      <w:r w:rsidRPr="00D43ECF">
        <w:rPr>
          <w:rFonts w:ascii="Arial" w:hAnsi="Arial" w:cs="Arial"/>
          <w:sz w:val="20"/>
        </w:rPr>
        <w:t>Ripabelli</w:t>
      </w:r>
      <w:proofErr w:type="spellEnd"/>
      <w:r w:rsidRPr="00D43ECF">
        <w:rPr>
          <w:rFonts w:ascii="Arial" w:hAnsi="Arial" w:cs="Arial"/>
          <w:sz w:val="20"/>
        </w:rPr>
        <w:t xml:space="preserve"> et al that most female vaccine recipients report adverse events with a twofold increase in the likelihood of reporting reactions compared to men. It's not news that there may be gender-specific variations in vaccine side effects. Studies on different vaccines show that the cellular immune response in men is generally suppressed compared to women. The significant biological link between sex and immunological response and its implications on disease susceptibility, transmission, and vaccination outcome can be used to explain this discrepancy. The primary sex hormones appear to oppose the innate and adaptive immune systems; for example, rising </w:t>
      </w:r>
      <w:proofErr w:type="spellStart"/>
      <w:r w:rsidRPr="00D43ECF">
        <w:rPr>
          <w:rFonts w:ascii="Arial" w:hAnsi="Arial" w:cs="Arial"/>
          <w:sz w:val="20"/>
        </w:rPr>
        <w:t>estradiol</w:t>
      </w:r>
      <w:proofErr w:type="spellEnd"/>
      <w:r w:rsidRPr="00D43ECF">
        <w:rPr>
          <w:rFonts w:ascii="Arial" w:hAnsi="Arial" w:cs="Arial"/>
          <w:sz w:val="20"/>
        </w:rPr>
        <w:t xml:space="preserve"> and testosterone levels reduce the antibody responses elicited by vaccination. Additionally, behavioural attitudes toward reporting side effects and autoimmune illnesses were recorded more commonly in women than men. Finally, women are more likely to have side effects due to their larger body fat percentage, which influences the drug's volume of distribution and clearance rate </w:t>
      </w:r>
      <w:r>
        <w:rPr>
          <w:rFonts w:ascii="Arial" w:hAnsi="Arial" w:cs="Arial"/>
          <w:sz w:val="20"/>
        </w:rPr>
        <w:fldChar w:fldCharType="begin" w:fldLock="1"/>
      </w:r>
      <w:r>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Pr>
          <w:rFonts w:ascii="Arial" w:hAnsi="Arial" w:cs="Arial" w:hint="eastAsia"/>
          <w:sz w:val="20"/>
        </w:rPr>
        <w:instrText>≤</w:instrText>
      </w:r>
      <w:r>
        <w:rPr>
          <w:rFonts w:ascii="Arial" w:hAnsi="Arial" w:cs="Arial" w:hint="eastAsia"/>
          <w:sz w:val="20"/>
        </w:rPr>
        <w:instrText xml:space="preserve"> 55 years was a ri</w:instrText>
      </w:r>
      <w:r>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(14)</w:t>
      </w:r>
      <w:r>
        <w:rPr>
          <w:rFonts w:ascii="Arial" w:hAnsi="Arial" w:cs="Arial"/>
          <w:sz w:val="20"/>
        </w:rPr>
        <w:fldChar w:fldCharType="end"/>
      </w:r>
      <w:r w:rsidRPr="00D43ECF">
        <w:rPr>
          <w:rFonts w:ascii="Arial" w:hAnsi="Arial" w:cs="Arial"/>
          <w:sz w:val="20"/>
        </w:rPr>
        <w:t>.</w:t>
      </w:r>
      <w:r>
        <w:rPr>
          <w:rFonts w:ascii="Arial" w:hAnsi="Arial" w:cs="Arial"/>
          <w:sz w:val="20"/>
        </w:rPr>
        <w:t xml:space="preserve"> </w:t>
      </w:r>
      <w:r w:rsidRPr="00D43ECF">
        <w:rPr>
          <w:rFonts w:ascii="Arial" w:hAnsi="Arial" w:cs="Arial"/>
          <w:sz w:val="20"/>
        </w:rPr>
        <w:t xml:space="preserve">Chakraborty et al found that the number of women with AEFI was higher than that of men for both local and systemic reactions </w:t>
      </w:r>
      <w:r>
        <w:rPr>
          <w:rFonts w:ascii="Arial" w:hAnsi="Arial" w:cs="Arial"/>
          <w:sz w:val="20"/>
        </w:rPr>
        <w:fldChar w:fldCharType="begin" w:fldLock="1"/>
      </w:r>
      <w:r>
        <w:rPr>
          <w:rFonts w:ascii="Arial" w:hAnsi="Arial" w:cs="Arial"/>
          <w:sz w:val="20"/>
        </w:rPr>
        <w:instrText>ADDIN CSL_CITATION {"citationItems":[{"id":"ITEM-1","itemData":{"DOI":"10.7759/cureus.21809","abstract":"Background Vaccination has provided a ray of hope in combating the coronavirus disease 2019 (COVID-19). Vaccines were rolled out as an emergency measure, with an expedited approval process. The available clinical trial data reveals the fact that vaccines mostly produce mild adverse events following immunization (AEFIs). Since the experiences are relatively new, it is important to monitor safety in a real-world setting. With this background, this survey was conducted. Methods This cross-sectional study was approved by the institutional ethics committee (IEC) of Vydehi Institute of Medical Sciences and Research Centre. This was conducted over a period of four months at select apartment complexes around Whitefield, Bangalore. The participants were invited to fill up data through online Google Forms (Google, Mountain View, CA, USA). They were requested to provide demographic details, information related to vaccination, and AEFIs. Eligibility to participate included recipients of vaccines who received Emergency Use Authorization (EUA) in India. Data were analyzed using SPSS version 20.00 (IBM Corporation, Armonk, NY, USA). Results The total number of participants in the study was 322. Out of this, 37.6% (121) were males and 62.4% (201) were females. The mean age of the participants was 34.9 +/- 12.4 (mean +/- standard deviation (SD) years. About 30% (96) of the study participants had comorbidities. Overall, 67.4% (217) of the participants suffered from AEFI. Of them, immediate reactions were reported by 18.3% (59) and 10.2% (32) of the participants after the first and second doses, respectively. A total of 0.9% (3) of the participants had immediate allergic reactions. The most common local and systemic AEFIs were pain at the injection site and extreme tiredness. AEFIs were found to be mild and with a probable association with vaccination as per the WHO scale. The number of females experiencing AEFIs was found to be higher when compared with males for both local and systemic reactions. There was a statistically significant increase in the number of individuals experiencing general adverse effects following the first dose of CovishieldTM (Serum Institute of India Private Limited, Pune, India) when compared with CovaxinTM (Bharat Biotech Limited, Hyderabad, India) (P &lt; 0.05). Of the participants, 5.9% (19) were diagnosed with COVID-19 post-vaccination. Among them, 15.8% (3) required hospitalization, with 10.5% (2) of them requiring an oxygen bed. It was observe…","author":[{"dropping-particle":"","family":"Chakraborty","given":"Ananya","non-dropping-particle":"","parse-names":false,"suffix":""},{"dropping-particle":"","family":"Reval","given":"Nishith","non-dropping-particle":"","parse-names":false,"suffix":""},{"dropping-particle":"","family":"Kamath","given":"Latha","non-dropping-particle":"","parse-names":false,"suffix":""}],"container-title":"Cureus","id":"ITEM-1","issue":"2","issued":{"date-parts":[["2022"]]},"page":"1-9","title":"Adverse Events Following COVID-19 Vaccination in Selected Apartments in Bangalore, India","type":"article-journal","volume":"14"},"uris":["http://www.mendeley.com/documents/?uuid=08b7b6ad-b850-4e44-9e66-3d7a96bf4e4c"]}],"mendeley":{"formattedCitation":"(15)","plainTextFormattedCitation":"(15)","previouslyFormattedCitation":"(15)"},"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(15)</w:t>
      </w:r>
      <w:r>
        <w:rPr>
          <w:rFonts w:ascii="Arial" w:hAnsi="Arial" w:cs="Arial"/>
          <w:sz w:val="20"/>
        </w:rPr>
        <w:fldChar w:fldCharType="end"/>
      </w:r>
      <w:r w:rsidRPr="00D43ECF">
        <w:rPr>
          <w:rFonts w:ascii="Arial" w:hAnsi="Arial" w:cs="Arial"/>
          <w:sz w:val="20"/>
        </w:rPr>
        <w:t xml:space="preserve">. </w:t>
      </w:r>
      <w:proofErr w:type="spellStart"/>
      <w:r w:rsidRPr="00D43ECF">
        <w:rPr>
          <w:rFonts w:ascii="Arial" w:hAnsi="Arial" w:cs="Arial"/>
          <w:sz w:val="20"/>
        </w:rPr>
        <w:t>Parida</w:t>
      </w:r>
      <w:proofErr w:type="spellEnd"/>
      <w:r w:rsidRPr="00D43ECF">
        <w:rPr>
          <w:rFonts w:ascii="Arial" w:hAnsi="Arial" w:cs="Arial"/>
          <w:sz w:val="20"/>
        </w:rPr>
        <w:t xml:space="preserve"> et al. also demonstrated that, with statistically significant differences (p = 0.010), AEFI was 1.30 times more common in women than in males</w:t>
      </w:r>
      <w:r>
        <w:rPr>
          <w:rFonts w:ascii="Arial" w:hAnsi="Arial" w:cs="Arial"/>
          <w:sz w:val="20"/>
        </w:rPr>
        <w:t xml:space="preserve"> </w:t>
      </w:r>
      <w:r>
        <w:rPr>
          <w:rFonts w:ascii="Arial" w:hAnsi="Arial" w:cs="Arial"/>
          <w:sz w:val="20"/>
        </w:rPr>
        <w:fldChar w:fldCharType="begin" w:fldLock="1"/>
      </w:r>
      <w:r>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(13)</w:t>
      </w:r>
      <w:r>
        <w:rPr>
          <w:rFonts w:ascii="Arial" w:hAnsi="Arial" w:cs="Arial"/>
          <w:sz w:val="20"/>
        </w:rPr>
        <w:fldChar w:fldCharType="end"/>
      </w:r>
      <w:r>
        <w:rPr>
          <w:rFonts w:ascii="Arial" w:hAnsi="Arial" w:cs="Arial"/>
          <w:sz w:val="20"/>
        </w:rPr>
        <w:t>.</w:t>
      </w:r>
    </w:p>
    <w:p w14:paraId="07C608B3" w14:textId="77777777" w:rsidR="00DB0BE1" w:rsidRPr="00D43ECF" w:rsidRDefault="00DB0BE1" w:rsidP="00DB0BE1">
      <w:pPr>
        <w:spacing w:after="0" w:line="334" w:lineRule="auto"/>
        <w:ind w:firstLine="567"/>
        <w:contextualSpacing/>
        <w:jc w:val="both"/>
        <w:rPr>
          <w:rFonts w:ascii="Arial" w:hAnsi="Arial" w:cs="Arial"/>
          <w:sz w:val="20"/>
        </w:rPr>
      </w:pPr>
      <w:r w:rsidRPr="00D43ECF">
        <w:rPr>
          <w:rFonts w:ascii="Arial" w:hAnsi="Arial" w:cs="Arial"/>
          <w:sz w:val="20"/>
        </w:rPr>
        <w:t xml:space="preserve">Body Mass Index (BMI) does not significantly affect the level of AEFI in this study, only in the 15 minutes of monitoring, the AEFI in Underweight  - </w:t>
      </w:r>
      <w:r w:rsidRPr="00D43ECF">
        <w:rPr>
          <w:rFonts w:ascii="Arial" w:hAnsi="Arial" w:cs="Arial"/>
          <w:sz w:val="20"/>
        </w:rPr>
        <w:t xml:space="preserve">Normal (&lt;18,5 - 24,9) participants was significantly higher (p=0.001) compared to that in Overweight  - Obese (25 - ≥ 27), but the percentage of participants in the normal weight category (≥ 18.5− &lt; 24.9) is higher than those with overweight and obese categories. This supports the finding by </w:t>
      </w:r>
      <w:proofErr w:type="spellStart"/>
      <w:r w:rsidRPr="00D43ECF">
        <w:rPr>
          <w:rFonts w:ascii="Arial" w:hAnsi="Arial" w:cs="Arial"/>
          <w:sz w:val="20"/>
        </w:rPr>
        <w:t>Hidayat</w:t>
      </w:r>
      <w:proofErr w:type="spellEnd"/>
      <w:r w:rsidRPr="00D43ECF">
        <w:rPr>
          <w:rFonts w:ascii="Arial" w:hAnsi="Arial" w:cs="Arial"/>
          <w:sz w:val="20"/>
        </w:rPr>
        <w:t xml:space="preserve"> et al. that those with BMIs under 25 kg/m2 (underweight/norm weight) are more likely to have AEFIs than those with BMIs above 25 kg/m2 (overweight) </w:t>
      </w:r>
      <w:r>
        <w:rPr>
          <w:rFonts w:ascii="Arial" w:hAnsi="Arial" w:cs="Arial"/>
          <w:sz w:val="20"/>
        </w:rPr>
        <w:fldChar w:fldCharType="begin" w:fldLock="1"/>
      </w:r>
      <w:r>
        <w:rPr>
          <w:rFonts w:ascii="Arial" w:hAnsi="Arial" w:cs="Arial"/>
          <w:sz w:val="20"/>
        </w:rPr>
        <w:instrText>ADDIN CSL_CITATION {"citationItems":[{"id":"ITEM-1","itemData":{"author":[{"dropping-particle":"","family":"Hidayat","given":"Rakhmad","non-dropping-particle":"","parse-names":false,"suffix":""},{"dropping-particle":"","family":"Mustika","given":"Alyssa Putri","non-dropping-particle":"","parse-names":false,"suffix":""},{"dropping-particle":"","family":"Avisha","given":"Fhathia","non-dropping-particle":"","parse-names":false,"suffix":""},{"dropping-particle":"","family":"Djuliannisaa","given":"Zlatikha","non-dropping-particle":"","parse-names":false,"suffix":""},{"dropping-particle":"","family":"Winari","given":"Dinisa Diah","non-dropping-particle":"","parse-names":false,"suffix":""},{"dropping-particle":"","family":"Putri","given":"Ria Amiliah","non-dropping-particle":"","parse-names":false,"suffix":""},{"dropping-particle":"","family":"Lisman","given":"Heydi Marizky","non-dropping-particle":"","parse-names":false,"suffix":""},{"dropping-particle":"","family":"Davin","given":"Vandra","non-dropping-particle":"","parse-names":false,"suffix":""},{"dropping-particle":"","family":"Widhani","given":"Alvina","non-dropping-particle":"","parse-names":false,"suffix":""},{"dropping-particle":"","family":"Aini","given":"Muhammad Hafiz","non-dropping-particle":"","parse-names":false,"suffix":""},{"dropping-particle":"","family":"Rahmadani","given":"Meilisa","non-dropping-particle":"","parse-names":false,"suffix":""},{"dropping-particle":"","family":"Istanti","given":"Novita Dwi","non-dropping-particle":"","parse-names":false,"suffix":""},{"dropping-particle":"","family":"Giantini","given":"Astuti","non-dropping-particle":"","parse-names":false,"suffix":""}],"container-title":"MDPI Vaccines","id":"ITEM-1","issued":{"date-parts":[["2022"]]},"page":"1-10","title":"Surveillance of Adverse Events Following Immunization ( AEFI ) after Third Dose Booster Vaccination with mRNA-Based Vaccine in Universitas Indonesia Hospital Health Personnel","type":"article-journal","volume":"10"},"uris":["http://www.mendeley.com/documents/?uuid=8dbcb970-9e23-4e2a-a239-535e55a18c6e"]}],"mendeley":{"formattedCitation":"(16)","plainTextFormattedCitation":"(16)","previouslyFormattedCitation":"(16)"},"properties":{"noteIndex":0},"schema":"https://github.com/citation-style-language/schema/raw/master/csl-citation.json"}</w:instrText>
      </w:r>
      <w:r>
        <w:rPr>
          <w:rFonts w:ascii="Arial" w:hAnsi="Arial" w:cs="Arial"/>
          <w:sz w:val="20"/>
        </w:rPr>
        <w:fldChar w:fldCharType="separate"/>
      </w:r>
      <w:r w:rsidRPr="00C95E2F">
        <w:rPr>
          <w:rFonts w:ascii="Arial" w:hAnsi="Arial" w:cs="Arial"/>
          <w:noProof/>
          <w:sz w:val="20"/>
        </w:rPr>
        <w:t>(16)</w:t>
      </w:r>
      <w:r>
        <w:rPr>
          <w:rFonts w:ascii="Arial" w:hAnsi="Arial" w:cs="Arial"/>
          <w:sz w:val="20"/>
        </w:rPr>
        <w:fldChar w:fldCharType="end"/>
      </w:r>
      <w:r w:rsidRPr="00D43ECF">
        <w:rPr>
          <w:rFonts w:ascii="Arial" w:hAnsi="Arial" w:cs="Arial"/>
          <w:sz w:val="20"/>
        </w:rPr>
        <w:t xml:space="preserve">. </w:t>
      </w:r>
      <w:proofErr w:type="spellStart"/>
      <w:r w:rsidRPr="00D43ECF">
        <w:rPr>
          <w:rFonts w:ascii="Arial" w:hAnsi="Arial" w:cs="Arial"/>
          <w:sz w:val="20"/>
        </w:rPr>
        <w:t>Iguacel</w:t>
      </w:r>
      <w:proofErr w:type="spellEnd"/>
      <w:r w:rsidRPr="00D43ECF">
        <w:rPr>
          <w:rFonts w:ascii="Arial" w:hAnsi="Arial" w:cs="Arial"/>
          <w:sz w:val="20"/>
        </w:rPr>
        <w:t xml:space="preserve"> et al. discovered that people in the underweight and normal weight groups had a higher likelihood of experiencing COVID-19 adverse effects (fever, vomiting, </w:t>
      </w:r>
      <w:proofErr w:type="spellStart"/>
      <w:r w:rsidRPr="00D43ECF">
        <w:rPr>
          <w:rFonts w:ascii="Arial" w:hAnsi="Arial" w:cs="Arial"/>
          <w:sz w:val="20"/>
        </w:rPr>
        <w:t>diarrhea</w:t>
      </w:r>
      <w:proofErr w:type="spellEnd"/>
      <w:r w:rsidRPr="00D43ECF">
        <w:rPr>
          <w:rFonts w:ascii="Arial" w:hAnsi="Arial" w:cs="Arial"/>
          <w:sz w:val="20"/>
        </w:rPr>
        <w:t xml:space="preserve">, and chills) than people who are overweight (including obese) </w:t>
      </w:r>
      <w:r>
        <w:rPr>
          <w:rFonts w:ascii="Arial" w:hAnsi="Arial" w:cs="Arial"/>
          <w:sz w:val="20"/>
        </w:rPr>
        <w:fldChar w:fldCharType="begin" w:fldLock="1"/>
      </w:r>
      <w:r>
        <w:rPr>
          <w:rFonts w:ascii="Arial" w:hAnsi="Arial" w:cs="Arial"/>
          <w:sz w:val="20"/>
        </w:rPr>
        <w:instrText xml:space="preserve">ADDIN CSL_CITATION {"citationItems":[{"id":"ITEM-1","itemData":{"DOI":"10.3390/vaccines9111321","ISSN":"2076393X","abstract":"COVID-19 vaccines have shown high efficacy, with most side effects being mild–moderate and more frequently reported by females and people at younger ages. Since no studies have assessed the impact that weight status could have on the reported adverse reactions, we aim to study the association between weight status and reported side effects. We included data on 2136 adults from an online survey conducted from 6 May to 9 June 2021. The questionnaire was filled in by participants over Google forms. Generalized Linear Mixed Models were used. A higher risk of presenting fever </w:instrText>
      </w:r>
      <w:r>
        <w:rPr>
          <w:rFonts w:ascii="Arial" w:hAnsi="Arial" w:cs="Arial" w:hint="eastAsia"/>
          <w:sz w:val="20"/>
        </w:rPr>
        <w:instrText>≥</w:instrText>
      </w:r>
      <w:r>
        <w:rPr>
          <w:rFonts w:ascii="Arial" w:hAnsi="Arial" w:cs="Arial"/>
          <w:sz w:val="20"/>
        </w:rPr>
        <w:instrText xml:space="preserve">38◦, vomiting, diarrhea and chills was found in those with a non-overweight status compared to those overweight after adjusting for age, sex, education, medication to prevent/relieve post-vaccination effects and vaccine administered. When adjusting, most of the significant effects, in the association between side effects of the COVID-19 vaccine and weight status, did not remain significant. In conclusion, a non-overweight status was associated with a higher risk of presenting fever </w:instrText>
      </w:r>
      <w:r>
        <w:rPr>
          <w:rFonts w:ascii="Arial" w:hAnsi="Arial" w:cs="Arial" w:hint="eastAsia"/>
          <w:sz w:val="20"/>
        </w:rPr>
        <w:instrText>≥</w:instrText>
      </w:r>
      <w:r>
        <w:rPr>
          <w:rFonts w:ascii="Arial" w:hAnsi="Arial" w:cs="Arial"/>
          <w:sz w:val="20"/>
        </w:rPr>
        <w:instrText>38◦, vomiting, diarrhea and chills compared to those overweight. Nevertheless, most of the reported side effects to COVID-19 vaccine were not associated with a higher risk of presenting more adverse effects, and individual differences were determined by sex and age.","author":[{"dropping-particle":"","family":"Iguacel","given":"Isabel","non-dropping-particle":"","parse-names":false,"suffix":""},{"dropping-particle":"","family":"Maldonado","given":"Aurelio Luna","non-dropping-particle":"","parse-names":false,"suffix":""},{"dropping-particle":"","family":"Ruiz-Cabello","given":"Aurelio Luna","non-dropping-particle":"","parse-names":false,"suffix":""},{"dropping-particle":"","family":"Casaus","given":"Marta","non-dropping-particle":"","parse-names":false,"suffix":""},{"dropping-particle":"","family":"Moreno","given":"Luis Alberto","non-dropping-particle":"","parse-names":false,"suffix":""},{"dropping-particle":"","family":"Martínez-Jarreta","given":"Begoña","non-dropping-particle":"","parse-names":false,"suffix":""}],"container-title":"Vaccines","id":"ITEM-1","issue":"11","issued":{"date-parts":[["2021"]]},"page":"1-12","title":"Association between covid-19 vaccine side effects and body mass index in Spain","type":"article-journal","volume":"9"},"uris":["http://www.mendeley.com/documents/?uuid=1acd2e00-c1e7-409f-8c3f-b4de17630050"]}],"mendeley":{"formattedCitation":"(17)","plainTextFormattedCitation":"(17)","previouslyFormattedCitation":"(17)"},"properties":{"noteIndex":0},"schema":"https://github.com/citation-style-language/schema/raw/master/csl-citation.json"}</w:instrText>
      </w:r>
      <w:r>
        <w:rPr>
          <w:rFonts w:ascii="Arial" w:hAnsi="Arial" w:cs="Arial"/>
          <w:sz w:val="20"/>
        </w:rPr>
        <w:fldChar w:fldCharType="separate"/>
      </w:r>
      <w:r w:rsidRPr="00C95E2F">
        <w:rPr>
          <w:rFonts w:ascii="Arial" w:hAnsi="Arial" w:cs="Arial"/>
          <w:noProof/>
          <w:sz w:val="20"/>
        </w:rPr>
        <w:t>(17)</w:t>
      </w:r>
      <w:r>
        <w:rPr>
          <w:rFonts w:ascii="Arial" w:hAnsi="Arial" w:cs="Arial"/>
          <w:sz w:val="20"/>
        </w:rPr>
        <w:fldChar w:fldCharType="end"/>
      </w:r>
      <w:r w:rsidRPr="00D43ECF">
        <w:rPr>
          <w:rFonts w:ascii="Arial" w:hAnsi="Arial" w:cs="Arial"/>
          <w:sz w:val="20"/>
        </w:rPr>
        <w:t>.</w:t>
      </w:r>
    </w:p>
    <w:p w14:paraId="53486104" w14:textId="77777777" w:rsidR="00DB0BE1" w:rsidRPr="00D43ECF" w:rsidRDefault="00DB0BE1" w:rsidP="00DB0BE1">
      <w:pPr>
        <w:spacing w:after="0" w:line="334" w:lineRule="auto"/>
        <w:ind w:firstLine="567"/>
        <w:contextualSpacing/>
        <w:jc w:val="both"/>
        <w:rPr>
          <w:rFonts w:ascii="Arial" w:hAnsi="Arial" w:cs="Arial"/>
          <w:sz w:val="20"/>
        </w:rPr>
      </w:pPr>
      <w:r w:rsidRPr="00D43ECF">
        <w:rPr>
          <w:rFonts w:ascii="Arial" w:hAnsi="Arial" w:cs="Arial"/>
          <w:sz w:val="20"/>
        </w:rPr>
        <w:t xml:space="preserve">In this study, the Pfizer vaccine type had a higher AEFI percentage than the Sinovac vaccine. In the first 15 minutes and 15 minutes – 24 hours, the AEFI percentage of Pfizer was significantly (p&lt;0.001) higher than the Sinovac vaccine. In 24-48 hours of monitoring, Pfizer showed significantly higher AEFIs than Sinovac (p=0.003) and so does in 48 hours – 7 days of monitoring (p=0.004). This is in line with </w:t>
      </w:r>
      <w:proofErr w:type="spellStart"/>
      <w:r w:rsidRPr="00D43ECF">
        <w:rPr>
          <w:rFonts w:ascii="Arial" w:hAnsi="Arial" w:cs="Arial"/>
          <w:sz w:val="20"/>
        </w:rPr>
        <w:t>Bostan</w:t>
      </w:r>
      <w:proofErr w:type="spellEnd"/>
      <w:r w:rsidRPr="00D43ECF">
        <w:rPr>
          <w:rFonts w:ascii="Arial" w:hAnsi="Arial" w:cs="Arial"/>
          <w:sz w:val="20"/>
        </w:rPr>
        <w:t xml:space="preserve"> et al that the Pfizer-BioNTech vaccine in the first and second doses has a statistically higher rate of systemic and local side effects than the Sinovac-CoronaVac vaccine </w:t>
      </w:r>
      <w:r>
        <w:rPr>
          <w:rFonts w:ascii="Arial" w:hAnsi="Arial" w:cs="Arial"/>
          <w:sz w:val="20"/>
        </w:rPr>
        <w:fldChar w:fldCharType="begin" w:fldLock="1"/>
      </w:r>
      <w:r>
        <w:rPr>
          <w:rFonts w:ascii="Arial" w:hAnsi="Arial" w:cs="Arial"/>
          <w:sz w:val="20"/>
        </w:rPr>
        <w:instrText>ADDIN CSL_CITATION {"citationItems":[{"id":"ITEM-1","itemData":{"DOI":"10.1111/jocd.15203","ISSN":"14732165","PMID":"35775860","abstract":"Introduction: As Coronavirus disease 19 (COVID-19) still continues to affect humanity worldwide, different types of COVID-19 vaccines are being administered to maintain immunization against COVID-19. As both the inactivated and mRNA vaccines are now being applied prevalently, systemic adverse events along with cutaneous side effects are frequently being reported in the literature. Aim: In our study, we aimed to determine the cutaneous adverse effects of the inactivated (Sinovac-CoronaVac) and mRNA (Pfizer-BioNTech) vaccines in healthcare providers in a tertiary referral hospital. Methods: A web-based survey consisting of 26 questions related to the systemic and cutaneous side effects of the inactivated and mRNA COVID-19 vaccines, was formed. The online questionnaire was spread among the healthcare professionals working in a tertiary referral hospital via common instant messaging groups and e-mail. Findings: A total number of 234 participants were included in the study. One hundred fifty-seven were female whereas 77 were male. The mean age was 31.51 years. Eighty-nine respondents reported to have at least one cutaneous side effect after COVID-19 vaccination. Most commonly observed cutaneous side effects were local injection site reactions. Pfizer-BioNTech vaccine at the first and second doses, was shown to have statistically significantly higher rates of systemic and cutaneous adverse events compared to the Sinovac-CoronaVac vaccine. Results: Our study shows that both inactivated and mRNA COVID-19 vaccines are associated with transient local injection site reactions, no severe systemic or cutaneous adverse events were observed in our study population.","author":[{"dropping-particle":"","family":"Bostan","given":"Ecem","non-dropping-particle":"","parse-names":false,"suffix":""},{"dropping-particle":"","family":"Yel","given":"Beril","non-dropping-particle":"","parse-names":false,"suffix":""},{"dropping-particle":"","family":"Karaduman","given":"Aysen","non-dropping-particle":"","parse-names":false,"suffix":""}],"container-title":"Journal of Cosmetic Dermatology","id":"ITEM-1","issue":"9","issued":{"date-parts":[["2022"]]},"page":"3682-3688","title":"Cutaneous adverse events following 771 doses of the inactivated and mRNA COVID-19 vaccines: A survey study among health care providers","type":"article-journal","volume":"21"},"uris":["http://www.mendeley.com/documents/?uuid=79264f43-57ad-440b-81d6-f58e6f48203f"]}],"mendeley":{"formattedCitation":"(9)","plainTextFormattedCitation":"(9)","previouslyFormattedCitation":"(9)"},"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(9)</w:t>
      </w:r>
      <w:r>
        <w:rPr>
          <w:rFonts w:ascii="Arial" w:hAnsi="Arial" w:cs="Arial"/>
          <w:sz w:val="20"/>
        </w:rPr>
        <w:fldChar w:fldCharType="end"/>
      </w:r>
      <w:r w:rsidRPr="00D43ECF">
        <w:rPr>
          <w:rFonts w:ascii="Arial" w:hAnsi="Arial" w:cs="Arial"/>
          <w:sz w:val="20"/>
        </w:rPr>
        <w:t xml:space="preserve">. Additionally, Chen et al. found that the incidence of AEFI was 23.0% (95% CI 20.0-26.0%, I2 = 55.71%), 48.0% (95% CI 28.0-84.0%, I2 = 99.99%), and 76.0% (95% CI 69.0-84.0%, I2 = 84.46%), respectively, from inactivated vaccines, mRNA-based vaccines, and viral vector vaccines [18]. Pfizer-BioNTech recipients demonstrated a 5.37 times (95% CI: 2.57-11.22) higher likelihood of side effects than Sinopharm recipients, according to Mohsin et al. </w:t>
      </w:r>
      <w:r>
        <w:rPr>
          <w:rFonts w:ascii="Arial" w:hAnsi="Arial" w:cs="Arial"/>
          <w:sz w:val="20"/>
        </w:rPr>
        <w:fldChar w:fldCharType="begin" w:fldLock="1"/>
      </w:r>
      <w:r>
        <w:rPr>
          <w:rFonts w:ascii="Arial" w:hAnsi="Arial" w:cs="Arial"/>
          <w:sz w:val="20"/>
        </w:rPr>
        <w:instrText>ADDIN CSL_CITATION {"citationItems":[{"id":"ITEM-1","itemData":{"DOI":"10.1016/j.jvacx.2022.100207","ISSN":"25901362","abstract":"Objective: One of the primary reasons for hesitancy in taking COVID-19 vaccines is the fear of side effects. This study primarily aimed to inspect the potential side effects of the COVID-19 vaccines circulated in Bangladesh. Design and Settings. The study was based on a cross-sectional anonymous online survey conducted in December 2021 across Bangladesh. Participants. The study included consenting Bangladeshi individuals aged 12 and above who had received at least one dose of the COVID-19 vaccines. Main Outcome. Analyses were carried out through exploratory analysis, Chi-square test, and logistic regression to investigate potential side effects of the COVID-19 vaccines. Results: A total of 1,180 vaccinated people participated in the study. Only 39.48% of the participants reported at least one side effect after receiving their COVID-19 vaccine. Injection-site pain, fever, headache, redness/swelling at the injection site, and lethargy were the most commonly reported adverse effects, all of which were mild and lasted 1–3 days. Side effects were most prevalent (about 80%) among individuals who received Pfizer-BioNTech and Moderna vaccines and were least common among those who received Sinopharm and Sinovac vaccines (21%-28%). When compared to the Sinopharm vaccines, the OxfordAstraZeneca, Pfizer-BioNTech, and Moderna vaccines were 4.51 times (95% CI: 2.53–8.04), 5.37 times (95% CI: 2.57–11.22), and 4.28 times (95% CI: 2.28–8.05) likelier to produce side effects. Furthermore, males, those over 50 years old, urban dwellers, smokers, and those with underlying health issues had a considerably increased risk of developing side effects. A lack of confidence in vaccines' efficacy and a substantial level of hesitancy in allowing children (age five years or over) and older people (70 years or over) to receive COVID-19 vaccines were also observed. Conclusion: Side effects of COVID-19 vaccines are minimal, demonstrating their safety. Efforts should be made to disseminate such findings worldwide to increase vaccine uptake.","author":[{"dropping-particle":"","family":"Mohsin","given":"Md","non-dropping-particle":"","parse-names":false,"suffix":""},{"dropping-particle":"","family":"Mahmud","given":"Sultan","non-dropping-particle":"","parse-names":false,"suffix":""},{"dropping-particle":"","family":"Uddin Mian","given":"Ashraf","non-dropping-particle":"","parse-names":false,"suffix":""},{"dropping-particle":"","family":"Hasan","given":"Prottay","non-dropping-particle":"","parse-names":false,"suffix":""},{"dropping-particle":"","family":"Muyeed","given":"Abdul","non-dropping-particle":"","parse-names":false,"suffix":""},{"dropping-particle":"","family":"Taif Ali","given":"Md","non-dropping-particle":"","parse-names":false,"suffix":""},{"dropping-particle":"","family":"Faysal Ahmed","given":"Fee","non-dropping-particle":"","parse-names":false,"suffix":""},{"dropping-particle":"","family":"Islam","given":"Ariful","non-dropping-particle":"","parse-names":false,"suffix":""},{"dropping-particle":"","family":"Maliha Rahman","given":"Maisha","non-dropping-particle":"","parse-names":false,"suffix":""},{"dropping-particle":"","family":"Islam","given":"Mahfuza","non-dropping-particle":"","parse-names":false,"suffix":""},{"dropping-particle":"","family":"Rahaman Khan","given":"Md Hasinur","non-dropping-particle":"","parse-names":false,"suffix":""},{"dropping-particle":"","family":"Shafiqur Rahman","given":"M.","non-dropping-particle":"","parse-names":false,"suffix":""}],"container-title":"Vaccine: X","id":"ITEM-1","issued":{"date-parts":[["2022"]]},"page":"100207","publisher":"The Author(s)","title":"Side effects of COVID-19 vaccines and perceptions about COVID-19 and its vaccines in Bangladesh: A Cross-sectional study","type":"article-journal","volume":"12"},"uris":["http://www.mendeley.com/documents/?uuid=9626a789-e2a6-4655-9965-b5e2d01b5775"]}],"mendeley":{"formattedCitation":"(7)","plainTextFormattedCitation":"(7)","previouslyFormattedCitation":"(7)"},"properties":{"noteIndex":0},"schema":"https://github.com/citation-style-language/schema/raw/master/csl-citation.json"}</w:instrText>
      </w:r>
      <w:r>
        <w:rPr>
          <w:rFonts w:ascii="Arial" w:hAnsi="Arial" w:cs="Arial"/>
          <w:sz w:val="20"/>
        </w:rPr>
        <w:fldChar w:fldCharType="separate"/>
      </w:r>
      <w:r w:rsidRPr="009D3671">
        <w:rPr>
          <w:rFonts w:ascii="Arial" w:hAnsi="Arial" w:cs="Arial"/>
          <w:noProof/>
          <w:sz w:val="20"/>
        </w:rPr>
        <w:t>(7)</w:t>
      </w:r>
      <w:r>
        <w:rPr>
          <w:rFonts w:ascii="Arial" w:hAnsi="Arial" w:cs="Arial"/>
          <w:sz w:val="20"/>
        </w:rPr>
        <w:fldChar w:fldCharType="end"/>
      </w:r>
      <w:r w:rsidRPr="00D43ECF">
        <w:rPr>
          <w:rFonts w:ascii="Arial" w:hAnsi="Arial" w:cs="Arial"/>
          <w:sz w:val="20"/>
        </w:rPr>
        <w:t xml:space="preserve">. The related claim that CoronaVac has less reactogenicity than Comirnaty was supported by Lai et al. They also noted that those who received CoronaVac as opposed to Comirnaty had a considerably decreased probability of adverse responses (global, local, and systemic) two weeks after immunization </w:t>
      </w:r>
      <w:r>
        <w:rPr>
          <w:rFonts w:ascii="Arial" w:hAnsi="Arial" w:cs="Arial"/>
          <w:sz w:val="20"/>
        </w:rPr>
        <w:fldChar w:fldCharType="begin" w:fldLock="1"/>
      </w:r>
      <w:r>
        <w:rPr>
          <w:rFonts w:ascii="Arial" w:hAnsi="Arial" w:cs="Arial"/>
          <w:sz w:val="20"/>
        </w:rPr>
        <w:instrText>ADDIN CSL_CITATION {"citationItems":[{"id":"ITEM-1","itemData":{"DOI":"10.1016/j.vaccine.2022.01.062","ISSN":"18732518","PMID":"35140013","abstract":"Objective: CoronaVac (Sinovac) Covid-19 vaccine has recently been approved for emergency use by the World Health Organization. However, data on its reactogenicity in real-world settings is scant. This study aimed to compare self-reported post-vaccination adverse reactions between CoronaVac and Comirnaty (Pfizer-BioNTech). Methods: We adopted a prospective cohort study design using online surveys from the day of first-dose vaccination with intensive follow-up through two weeks after the second dose (11 time points). The primary outcome was adverse reactions (any versus none) and secondary outcomes were the sub-categories of adverse reactions (local, systemic, and severe allergic reactions). Potential effect modification across multimorbidity status, older age, and sex was examined. Results: In total, 2,098 participants who were scheduled to complete the 14th-day survey were included, with 46.2% receiving Comirnaty. Retention rate two weeks after the second dose was 81.0% for the CoronaVac group and 83.6% for the Comirnaty group. Throughout the follow-up period, 801 (82.7%) of those receiving Comirnaty and 543 (48.1%) of those receiving CoronaVac reported adverse reactions. Adjusted analysis suggested that compared with Comirnaty, CoronaVac was associated with 83%-reduced odds of any adverse reactions [adjusted odds ratio (AOR) = 0.17, 95% confidence interval (CI) 0.15–0.20], 92%-reduced odds of local adverse reactions (AOR = 0.08, 95% CI 0.06–0.09), and 76%-reduced odds of systemic adverse reactions (AOR = 0.24, 95% CI 0.16–0.28). No significant effect modification was identified. Conclusion: This post-marketing study comparing the reactogenicity of Covid-19 vaccines suggests a lower risk of self-reported adverse reactions following vaccination with CoronaVac compared with Comirnaty.","author":[{"dropping-particle":"","family":"Lai","given":"Francisco Tsz Tsun","non-dropping-particle":"","parse-names":false,"suffix":""},{"dropping-particle":"","family":"Leung","given":"Miriam Tim Yin","non-dropping-particle":"","parse-names":false,"suffix":""},{"dropping-particle":"","family":"Chan","given":"Edward Wai Wa","non-dropping-particle":"","parse-names":false,"suffix":""},{"dropping-particle":"","family":"Huang","given":"Lei","non-dropping-particle":"","parse-names":false,"suffix":""},{"dropping-particle":"","family":"Lau","given":"Lauren Ka Wun","non-dropping-particle":"","parse-names":false,"suffix":""},{"dropping-particle":"","family":"Peng","given":"Kuan","non-dropping-particle":"","parse-names":false,"suffix":""},{"dropping-particle":"","family":"Leung","given":"Janice Ching Nam","non-dropping-particle":"","parse-names":false,"suffix":""},{"dropping-particle":"","family":"Fan","given":"Min","non-dropping-particle":"","parse-names":false,"suffix":""},{"dropping-particle":"","family":"Chen","given":"Kailin","non-dropping-particle":"","parse-names":false,"suffix":""},{"dropping-particle":"","family":"Lum","given":"Dawn Hei","non-dropping-particle":"","parse-names":false,"suffix":""},{"dropping-particle":"","family":"Li","given":"Xue","non-dropping-particle":"","parse-names":false,"suffix":""},{"dropping-particle":"","family":"Chui","given":"Celine Sze Ling","non-dropping-particle":"","parse-names":false,"suffix":""},{"dropping-particle":"","family":"Wan","given":"Eric Yuk Fai","non-dropping-particle":"","parse-names":false,"suffix":""},{"dropping-particle":"","family":"Wong","given":"Carlos King Ho","non-dropping-particle":"","parse-names":false,"suffix":""},{"dropping-particle":"","family":"Lam","given":"Edwin Fung Shing","non-dropping-particle":"","parse-names":false,"suffix":""},{"dropping-particle":"","family":"Cheung","given":"Terence Yung Yan","non-dropping-particle":"","parse-names":false,"suffix":""},{"dropping-particle":"","family":"Cowling","given":"Benjamin John","non-dropping-particle":"","parse-names":false,"suffix":""},{"dropping-particle":"","family":"Wong","given":"Ian Chi Kei","non-dropping-particle":"","parse-names":false,"suffix":""},{"dropping-particle":"","family":"Chan","given":"Esther Wai Yin","non-dropping-particle":"","parse-names":false,"suffix":""}],"container-title":"Vaccine","id":"ITEM-1","issue":"10","issued":{"date-parts":[["2022"]]},"page":"1390-1396","publisher":"Elsevier Ltd","title":"Self-reported reactogenicity of CoronaVac (Sinovac) compared with Comirnaty (Pfizer-BioNTech): A prospective cohort study with intensive monitoring","type":"article-journal","volume":"40"},"uris":["http://www.mendeley.com/documents/?uuid=c86d1e83-6037-44ae-80e3-100068bf3002"]}],"mendeley":{"formattedCitation":"(8)","plainTextFormattedCitation":"(8)","previouslyFormattedCitation":"(8)"},"properties":{"noteIndex":0},"schema":"https://github.com/citation-style-language/schema/raw/master/csl-citation.json"}</w:instrText>
      </w:r>
      <w:r>
        <w:rPr>
          <w:rFonts w:ascii="Arial" w:hAnsi="Arial" w:cs="Arial"/>
          <w:sz w:val="20"/>
        </w:rPr>
        <w:fldChar w:fldCharType="separate"/>
      </w:r>
      <w:r w:rsidRPr="009D3671">
        <w:rPr>
          <w:rFonts w:ascii="Arial" w:hAnsi="Arial" w:cs="Arial"/>
          <w:noProof/>
          <w:sz w:val="20"/>
        </w:rPr>
        <w:t>(8)</w:t>
      </w:r>
      <w:r>
        <w:rPr>
          <w:rFonts w:ascii="Arial" w:hAnsi="Arial" w:cs="Arial"/>
          <w:sz w:val="20"/>
        </w:rPr>
        <w:fldChar w:fldCharType="end"/>
      </w:r>
      <w:r w:rsidRPr="00D43ECF">
        <w:rPr>
          <w:rFonts w:ascii="Arial" w:hAnsi="Arial" w:cs="Arial"/>
          <w:sz w:val="20"/>
        </w:rPr>
        <w:t>.</w:t>
      </w:r>
    </w:p>
    <w:p w14:paraId="1ABEB3D1" w14:textId="77777777" w:rsidR="00DB0BE1" w:rsidRPr="00D43ECF" w:rsidRDefault="00DB0BE1" w:rsidP="00DB0BE1">
      <w:pPr>
        <w:spacing w:after="0" w:line="334" w:lineRule="auto"/>
        <w:ind w:firstLine="567"/>
        <w:contextualSpacing/>
        <w:jc w:val="both"/>
        <w:rPr>
          <w:rFonts w:ascii="Arial" w:hAnsi="Arial" w:cs="Arial"/>
          <w:sz w:val="20"/>
          <w:szCs w:val="20"/>
        </w:rPr>
      </w:pPr>
      <w:r w:rsidRPr="00D43ECF">
        <w:rPr>
          <w:rFonts w:ascii="Arial" w:hAnsi="Arial" w:cs="Arial"/>
          <w:sz w:val="20"/>
        </w:rPr>
        <w:t xml:space="preserve">Comorbidity had a big impact on AEFI level in this study. According to </w:t>
      </w:r>
      <w:proofErr w:type="spellStart"/>
      <w:r w:rsidRPr="00D43ECF">
        <w:rPr>
          <w:rFonts w:ascii="Arial" w:hAnsi="Arial" w:cs="Arial"/>
          <w:sz w:val="20"/>
        </w:rPr>
        <w:t>Parida</w:t>
      </w:r>
      <w:proofErr w:type="spellEnd"/>
      <w:r w:rsidRPr="00D43ECF">
        <w:rPr>
          <w:rFonts w:ascii="Arial" w:hAnsi="Arial" w:cs="Arial"/>
          <w:sz w:val="20"/>
        </w:rPr>
        <w:t xml:space="preserve"> et al., People with comorbidities are 2.08 times more likely than healthy </w:t>
      </w:r>
      <w:r w:rsidRPr="00D43ECF">
        <w:rPr>
          <w:rFonts w:ascii="Arial" w:hAnsi="Arial" w:cs="Arial"/>
          <w:sz w:val="20"/>
        </w:rPr>
        <w:lastRenderedPageBreak/>
        <w:t>individuals to suffer AEFI (p&lt;0.001)</w:t>
      </w:r>
      <w:r>
        <w:rPr>
          <w:rFonts w:ascii="Arial" w:hAnsi="Arial" w:cs="Arial"/>
          <w:sz w:val="20"/>
        </w:rPr>
        <w:t xml:space="preserve"> </w:t>
      </w:r>
      <w:r>
        <w:rPr>
          <w:rFonts w:ascii="Arial" w:hAnsi="Arial" w:cs="Arial"/>
          <w:sz w:val="20"/>
        </w:rPr>
        <w:fldChar w:fldCharType="begin" w:fldLock="1"/>
      </w:r>
      <w:r>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(13)</w:t>
      </w:r>
      <w:r>
        <w:rPr>
          <w:rFonts w:ascii="Arial" w:hAnsi="Arial" w:cs="Arial"/>
          <w:sz w:val="20"/>
        </w:rPr>
        <w:fldChar w:fldCharType="end"/>
      </w:r>
      <w:r w:rsidRPr="00D43ECF">
        <w:rPr>
          <w:rFonts w:ascii="Arial" w:hAnsi="Arial" w:cs="Arial"/>
          <w:sz w:val="20"/>
        </w:rPr>
        <w:t xml:space="preserve">. A history of COVID-19 infection and allergies greatly impacts AEFI levels. This is consistent with the research of </w:t>
      </w:r>
      <w:proofErr w:type="spellStart"/>
      <w:r w:rsidRPr="00D43ECF">
        <w:rPr>
          <w:rFonts w:ascii="Arial" w:hAnsi="Arial" w:cs="Arial"/>
          <w:sz w:val="20"/>
        </w:rPr>
        <w:t>Parida</w:t>
      </w:r>
      <w:proofErr w:type="spellEnd"/>
      <w:r w:rsidRPr="00D43ECF">
        <w:rPr>
          <w:rFonts w:ascii="Arial" w:hAnsi="Arial" w:cs="Arial"/>
          <w:sz w:val="20"/>
        </w:rPr>
        <w:t xml:space="preserve"> et al. that AEFI symptoms and a history of allergies are strongly correlated</w:t>
      </w:r>
      <w:r>
        <w:rPr>
          <w:rFonts w:ascii="Arial" w:hAnsi="Arial" w:cs="Arial"/>
          <w:sz w:val="20"/>
        </w:rPr>
        <w:t xml:space="preserve"> </w:t>
      </w:r>
      <w:r>
        <w:rPr>
          <w:rFonts w:ascii="Arial" w:hAnsi="Arial" w:cs="Arial"/>
          <w:sz w:val="20"/>
        </w:rPr>
        <w:fldChar w:fldCharType="begin" w:fldLock="1"/>
      </w:r>
      <w:r>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(13)</w:t>
      </w:r>
      <w:r>
        <w:rPr>
          <w:rFonts w:ascii="Arial" w:hAnsi="Arial" w:cs="Arial"/>
          <w:sz w:val="20"/>
        </w:rPr>
        <w:fldChar w:fldCharType="end"/>
      </w:r>
      <w:r>
        <w:rPr>
          <w:rFonts w:ascii="Arial" w:hAnsi="Arial" w:cs="Arial"/>
          <w:sz w:val="20"/>
        </w:rPr>
        <w:t xml:space="preserve">. </w:t>
      </w:r>
      <w:r w:rsidRPr="00F31B78">
        <w:rPr>
          <w:rFonts w:ascii="Arial" w:hAnsi="Arial" w:cs="Arial"/>
          <w:sz w:val="20"/>
        </w:rPr>
        <w:t>Based on studies by Juliane et al., multivariate analysis in this study identified co-morbidities, including chronic lung disease, chronic kidney disease, and cardiovascular disease, that had a substantial association with a high risk of mortality. According to multiple research, COVID-19 patients with chronic comorbidities had an increased risk of COVID-19 events, including death</w:t>
      </w:r>
      <w:r>
        <w:rPr>
          <w:rFonts w:ascii="Arial" w:hAnsi="Arial" w:cs="Arial"/>
          <w:sz w:val="20"/>
        </w:rPr>
        <w:t xml:space="preserve"> </w:t>
      </w:r>
      <w:r w:rsidRPr="00F31B78">
        <w:rPr>
          <w:rFonts w:ascii="Arial" w:hAnsi="Arial" w:cs="Arial"/>
          <w:sz w:val="20"/>
        </w:rPr>
        <w:t>Similar to the relationship with AEFI events, c</w:t>
      </w:r>
      <w:r>
        <w:rPr>
          <w:rFonts w:ascii="Arial" w:hAnsi="Arial" w:cs="Arial"/>
          <w:sz w:val="20"/>
        </w:rPr>
        <w:t>o</w:t>
      </w:r>
      <w:r w:rsidRPr="00F31B78">
        <w:rPr>
          <w:rFonts w:ascii="Arial" w:hAnsi="Arial" w:cs="Arial"/>
          <w:sz w:val="20"/>
        </w:rPr>
        <w:t>morbidities increase the incidence of AEFI in patients</w:t>
      </w:r>
      <w:r>
        <w:rPr>
          <w:rFonts w:ascii="Arial" w:hAnsi="Arial" w:cs="Arial"/>
          <w:sz w:val="20"/>
        </w:rPr>
        <w:t xml:space="preserve"> </w:t>
      </w:r>
      <w:r>
        <w:rPr>
          <w:rFonts w:ascii="Arial" w:hAnsi="Arial" w:cs="Arial"/>
          <w:sz w:val="20"/>
        </w:rPr>
        <w:fldChar w:fldCharType="begin" w:fldLock="1"/>
      </w:r>
      <w:r>
        <w:rPr>
          <w:rFonts w:ascii="Arial" w:hAnsi="Arial" w:cs="Arial"/>
          <w:sz w:val="20"/>
        </w:rPr>
        <w:instrText>ADDIN CSL_CITATION {"citationItems":[{"id":"ITEM-1","itemData":{"ISBN":"0212247484","author":[{"dropping-particle":"","family":"Juliane","given":"Zhara","non-dropping-particle":"","parse-names":false,"suffix":""},{"dropping-particle":"","family":"Adisasmita","given":"Asri C","non-dropping-particle":"","parse-names":false,"suffix":""},{"dropping-particle":"","family":"Yuniadi","given":"Yoga","non-dropping-particle":"","parse-names":false,"suffix":""}],"container-title":"J Respir Indo","id":"ITEM-1","issued":{"date-parts":[["2022"]]},"title":"Risk Factors for Mortality of Patients with COVID-19 in RSJPD Harapan Kita, Jakarta Zhara","type":"article-journal","volume":"42"},"uris":["http://www.mendeley.com/documents/?uuid=28a5131b-09be-481e-95d1-016dee3f0d38"]}],"mendeley":{"formattedCitation":"(18)","plainTextFormattedCitation":"(18)"},"properties":{"noteIndex":0},"schema":"https://github.com/citation-style-language/schema/raw/master/csl-citation.json"}</w:instrText>
      </w:r>
      <w:r>
        <w:rPr>
          <w:rFonts w:ascii="Arial" w:hAnsi="Arial" w:cs="Arial"/>
          <w:sz w:val="20"/>
        </w:rPr>
        <w:fldChar w:fldCharType="separate"/>
      </w:r>
      <w:r w:rsidRPr="00F31B78">
        <w:rPr>
          <w:rFonts w:ascii="Arial" w:hAnsi="Arial" w:cs="Arial"/>
          <w:noProof/>
          <w:sz w:val="20"/>
        </w:rPr>
        <w:t>(18)</w:t>
      </w:r>
      <w:r>
        <w:rPr>
          <w:rFonts w:ascii="Arial" w:hAnsi="Arial" w:cs="Arial"/>
          <w:sz w:val="20"/>
        </w:rPr>
        <w:fldChar w:fldCharType="end"/>
      </w:r>
      <w:r w:rsidRPr="00F31B78">
        <w:rPr>
          <w:rFonts w:ascii="Arial" w:hAnsi="Arial" w:cs="Arial"/>
          <w:sz w:val="20"/>
        </w:rPr>
        <w:t>.</w:t>
      </w:r>
      <w:r>
        <w:rPr>
          <w:rFonts w:ascii="Arial" w:hAnsi="Arial" w:cs="Arial"/>
          <w:sz w:val="20"/>
        </w:rPr>
        <w:t xml:space="preserve"> </w:t>
      </w:r>
      <w:r w:rsidRPr="00D43ECF">
        <w:rPr>
          <w:rFonts w:ascii="Arial" w:hAnsi="Arial" w:cs="Arial"/>
          <w:sz w:val="20"/>
        </w:rPr>
        <w:t xml:space="preserve">Significant predictors of AEFI, in addition to gender, were comorbidities, a history of using steroids, a history of allergies, a history of using drugs within the previous six months, and a history of being hospitalized within the previous three months </w:t>
      </w:r>
      <w:r>
        <w:rPr>
          <w:rFonts w:ascii="Arial" w:hAnsi="Arial" w:cs="Arial"/>
          <w:sz w:val="20"/>
        </w:rPr>
        <w:fldChar w:fldCharType="begin" w:fldLock="1"/>
      </w:r>
      <w:r>
        <w:rPr>
          <w:rFonts w:ascii="Arial" w:hAnsi="Arial" w:cs="Arial"/>
          <w:sz w:val="20"/>
        </w:rPr>
        <w:instrText>ADDIN CSL_CITATION {"citationItems":[{"id":"ITEM-1","itemData":{"DOI":"10.1002/jmv.27655","ISSN":"10969071","PMID":"35149993","abstract":"The study aimed to assess the adverse events following COVID-19 vaccine (Covaxin) immunization at a tertiary care institution and also assess the predictors of the adverse events following immunization (AEFI). The prospective observational study was conducted in a tertiary care institute among the Covaxin beneficiaries between June 28 and September 6, 2021. A total of 1826 participants were assessed for any local or systemic adverse events after seven days of vaccination. A telephonic interview was conducted, and the beneficiaries were assessed according to the adverse event grading. A total of 1826 participants were assessed for AEFI, and 544 (29.8%) reported at least one of the AEFI. No severe adverse events were reported, and about 1.6% had moderate AEFI. Pain at the injection site (14.6%), fever (9.7%), and myalgia (5.9%) were the common adverse events reported by the participants. AEFI incidence was higher in the first dose (38.1%) when compared to the second dose (26.4%), and this finding was significant with a p &lt; 0.001. The major factors associated with AEFI were female sex, history of an allergic reaction, presence of comorbidities, acute infection in the past 3 months, and intake of chronic medications. Precaution needs to be taken while vaccinating individuals having allergies, comorbidities, acute infection in the last 3 months, and individuals on chronic medication.","author":[{"dropping-particle":"","family":"Parida","given":"Swayam Pragyan","non-dropping-particle":"","parse-names":false,"suffix":""},{"dropping-particle":"","family":"Sahu","given":"Dinesh Prasad","non-dropping-particle":"","parse-names":false,"suffix":""},{"dropping-particle":"","family":"Singh","given":"Arvind Kumar","non-dropping-particle":"","parse-names":false,"suffix":""},{"dropping-particle":"","family":"Alekhya","given":"G.","non-dropping-particle":"","parse-names":false,"suffix":""},{"dropping-particle":"","family":"Subba","given":"Sonu Hangma","non-dropping-particle":"","parse-names":false,"suffix":""},{"dropping-particle":"","family":"Mishra","given":"Abhisek","non-dropping-particle":"","parse-names":false,"suffix":""},{"dropping-particle":"","family":"Padhy","given":"Biswa Mohan","non-dropping-particle":"","parse-names":false,"suffix":""},{"dropping-particle":"","family":"Patro","given":"Binod Kumar","non-dropping-particle":"","parse-names":false,"suffix":""}],"container-title":"Journal of Medical Virology","id":"ITEM-1","issue":"6","issued":{"date-parts":[["2022"]]},"page":"2453-2459","title":"Adverse events following immunization of COVID-19 (Covaxin) vaccine at a tertiary care center of India","type":"article-journal","volume":"94"},"uris":["http://www.mendeley.com/documents/?uuid=94dd748e-611e-4adf-ac2a-a156f86c3c39"]}],"mendeley":{"formattedCitation":"(13)","plainTextFormattedCitation":"(13)","previouslyFormattedCitation":"(13)"},"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(13)</w:t>
      </w:r>
      <w:r>
        <w:rPr>
          <w:rFonts w:ascii="Arial" w:hAnsi="Arial" w:cs="Arial"/>
          <w:sz w:val="20"/>
        </w:rPr>
        <w:fldChar w:fldCharType="end"/>
      </w:r>
      <w:r>
        <w:rPr>
          <w:rFonts w:ascii="Arial" w:hAnsi="Arial" w:cs="Arial"/>
          <w:sz w:val="20"/>
        </w:rPr>
        <w:t xml:space="preserve">. </w:t>
      </w:r>
      <w:r w:rsidRPr="00D43ECF">
        <w:rPr>
          <w:rFonts w:ascii="Arial" w:hAnsi="Arial" w:cs="Arial"/>
          <w:sz w:val="20"/>
        </w:rPr>
        <w:t>Additionally, the history of medication use over the previous six months greatly impacts AEFIs.</w:t>
      </w:r>
      <w:r>
        <w:rPr>
          <w:rFonts w:ascii="Arial" w:hAnsi="Arial" w:cs="Arial"/>
          <w:sz w:val="20"/>
        </w:rPr>
        <w:t xml:space="preserve"> </w:t>
      </w:r>
    </w:p>
    <w:p w14:paraId="210518D8" w14:textId="77777777" w:rsidR="00DB0BE1" w:rsidRPr="00D43ECF" w:rsidRDefault="00DB0BE1" w:rsidP="00DB0BE1">
      <w:pPr>
        <w:spacing w:after="0" w:line="334" w:lineRule="auto"/>
        <w:ind w:firstLine="567"/>
        <w:contextualSpacing/>
        <w:jc w:val="both"/>
        <w:rPr>
          <w:rFonts w:ascii="Arial" w:hAnsi="Arial" w:cs="Arial"/>
          <w:sz w:val="20"/>
          <w:szCs w:val="20"/>
        </w:rPr>
      </w:pPr>
      <w:r w:rsidRPr="00D43ECF">
        <w:rPr>
          <w:rFonts w:ascii="Arial" w:hAnsi="Arial" w:cs="Arial"/>
          <w:sz w:val="20"/>
          <w:szCs w:val="20"/>
        </w:rPr>
        <w:t xml:space="preserve">The level of AEFI is greatly impacted by Covid-19 history. This is consistent with </w:t>
      </w:r>
      <w:proofErr w:type="spellStart"/>
      <w:r w:rsidRPr="00D43ECF">
        <w:rPr>
          <w:rFonts w:ascii="Arial" w:hAnsi="Arial" w:cs="Arial"/>
          <w:sz w:val="20"/>
          <w:szCs w:val="20"/>
        </w:rPr>
        <w:t>Ossato</w:t>
      </w:r>
      <w:proofErr w:type="spellEnd"/>
      <w:r w:rsidRPr="00D43ECF">
        <w:rPr>
          <w:rFonts w:ascii="Arial" w:hAnsi="Arial" w:cs="Arial"/>
          <w:sz w:val="20"/>
          <w:szCs w:val="20"/>
        </w:rPr>
        <w:t xml:space="preserve"> et al., who found that previously immunized individuals with Covid-19 infection have a considerably greater antibody response following a single vaccination </w:t>
      </w:r>
      <w:proofErr w:type="spellStart"/>
      <w:r w:rsidRPr="00D43ECF">
        <w:rPr>
          <w:rFonts w:ascii="Arial" w:hAnsi="Arial" w:cs="Arial"/>
          <w:sz w:val="20"/>
          <w:szCs w:val="20"/>
        </w:rPr>
        <w:t>döşe</w:t>
      </w:r>
      <w:proofErr w:type="spellEnd"/>
      <w:r w:rsidRPr="00D43ECF">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{"citationItems":[{"id":"ITEM-1","itemData":{"DOI":"10.1136/ejhpharm-2021-002933","ISSN":"20479964","PMID":"34315774","abstract":"Objectives: On 21 December 2020 the European Commission granted conditional marketing authorisation in the European Union for the anti-COVID-19 mRNA vaccine Bnt162b2 (Comirnaty, Pfizer/BioNTech). The main endpoint of this epidemiological, observational, prospective and monocentric study was to identify the number, types, and severity of adverse events following immunisation that occurred in subjects who had been previously infected with COVID-19, and in those who had not, after vaccination with Comirnaty, and to compare the two groups of subjects looking at events that occurred within a month after the first and the second dose. Methods: Data were gathered by a questionnaire. The results included the responses of all healthcare workers (2030) of the IRCCS Sacro Cuore Don Calabria Hospital (Italy) vaccinated between 1st January and 28th February 2021. Adverse effects of the vaccine were reported after the first and the second doses. Results: There was a statistically significant increase (p&lt;0.001, χ2=35.60) in participants who experienced some side-effects after receiving the first dose of the vaccine and who had previously been infected with the coronavirus, compared with participants who had not previously been infected. 46.76% (136) of the participants who had previously been infected experienced some side-effects after the first dose of vaccine, and 63.23% (184) experienced some side-effects after the second dose, compared with 29.15% (507) after the first dose and 70.79% (1231) after the second dose in those who had not been previously infected. The number of participants who experienced side-effects after the second dose and had previously been infected was significantly lower compared with participants who had not previously been infected (p=0.0094, χ2=6.743). Conclusions: Most of the side-effects identified in this trial were also reported by the manufacturer and the US Food and Drug Administration. Active surveillance should always continue to constantly check the vaccine's risk/benefit ratio over time.","author":[{"dropping-particle":"","family":"Ossato","given":"Andrea","non-dropping-particle":"","parse-names":false,"suffix":""},{"dropping-particle":"","family":"Tessari","given":"Roberto","non-dropping-particle":"","parse-names":false,"suffix":""},{"dropping-particle":"","family":"Trabucchi","given":"Carlotta","non-dropping-particle":"","parse-names":false,"suffix":""},{"dropping-particle":"","family":"Zuppini","given":"Teresa","non-dropping-particle":"","parse-names":false,"suffix":""},{"dropping-particle":"","family":"Realdon","given":"Nicola","non-dropping-particle":"","parse-names":false,"suffix":""},{"dropping-particle":"","family":"Marchesini","given":"Francesca","non-dropping-particle":"","parse-names":false,"suffix":""}],"container-title":"European Journal of Hospital Pharmacy","id":"ITEM-1","issued":{"date-parts":[["2021"]]},"page":"1-6","title":"Comparison of medium-term adverse reactions induced by the first and second dose of mRNA BNT162b2 (Comirnaty, Pfizer-BioNTech) vaccine: A post-marketing Italian study conducted between 1 January and 28 February 2021","type":"article-journal"},"uris":["http://www.mendeley.com/documents/?uuid=4686b199-e7b8-40e6-ba38-fa9779320309"]}],"mendeley":{"formattedCitation":"(19)","plainTextFormattedCitation":"(19)","previouslyFormattedCitation":"(18)"},"properties":{"noteIndex":0},"schema":"https://github.com/citation-style-language/schema/raw/master/csl-citation.json"}</w:instrText>
      </w:r>
      <w:r>
        <w:rPr>
          <w:rFonts w:ascii="Arial" w:hAnsi="Arial" w:cs="Arial"/>
          <w:sz w:val="20"/>
          <w:szCs w:val="20"/>
        </w:rPr>
        <w:fldChar w:fldCharType="separate"/>
      </w:r>
      <w:r w:rsidRPr="00F31B78">
        <w:rPr>
          <w:rFonts w:ascii="Arial" w:hAnsi="Arial" w:cs="Arial"/>
          <w:noProof/>
          <w:sz w:val="20"/>
          <w:szCs w:val="20"/>
        </w:rPr>
        <w:t>(19)</w:t>
      </w:r>
      <w:r>
        <w:rPr>
          <w:rFonts w:ascii="Arial" w:hAnsi="Arial" w:cs="Arial"/>
          <w:sz w:val="20"/>
          <w:szCs w:val="20"/>
        </w:rPr>
        <w:fldChar w:fldCharType="end"/>
      </w:r>
      <w:r w:rsidRPr="00D43ECF">
        <w:rPr>
          <w:rFonts w:ascii="Arial" w:hAnsi="Arial" w:cs="Arial"/>
          <w:sz w:val="20"/>
          <w:szCs w:val="20"/>
        </w:rPr>
        <w:t xml:space="preserve">. All 18 COVID-19 patients who had previously been diagnosed had mild reactions, and nine of them reported moderate reactions, which were connected to a history of SARS-CoV-2 infection, according to </w:t>
      </w:r>
      <w:proofErr w:type="spellStart"/>
      <w:r w:rsidRPr="00D43ECF">
        <w:rPr>
          <w:rFonts w:ascii="Arial" w:hAnsi="Arial" w:cs="Arial"/>
          <w:sz w:val="20"/>
          <w:szCs w:val="20"/>
        </w:rPr>
        <w:t>Ripabelli</w:t>
      </w:r>
      <w:proofErr w:type="spellEnd"/>
      <w:r w:rsidRPr="00D43ECF">
        <w:rPr>
          <w:rFonts w:ascii="Arial" w:hAnsi="Arial" w:cs="Arial"/>
          <w:sz w:val="20"/>
          <w:szCs w:val="20"/>
        </w:rPr>
        <w:t xml:space="preserve"> et al. This correlation may be explained by increased immunogenicity in those who have had an infection and have antibodies against healthy individuals, as well as heightened concern about side effects, even in those who only have minor symptoms </w:t>
      </w:r>
      <w:r>
        <w:rPr>
          <w:rFonts w:ascii="Arial" w:hAnsi="Arial" w:cs="Arial"/>
          <w:sz w:val="20"/>
        </w:rPr>
        <w:fldChar w:fldCharType="begin" w:fldLock="1"/>
      </w:r>
      <w:r>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Pr>
          <w:rFonts w:ascii="Arial" w:hAnsi="Arial" w:cs="Arial" w:hint="eastAsia"/>
          <w:sz w:val="20"/>
        </w:rPr>
        <w:instrText>≤</w:instrText>
      </w:r>
      <w:r>
        <w:rPr>
          <w:rFonts w:ascii="Arial" w:hAnsi="Arial" w:cs="Arial" w:hint="eastAsia"/>
          <w:sz w:val="20"/>
        </w:rPr>
        <w:instrText xml:space="preserve"> 55 years was a ri</w:instrText>
      </w:r>
      <w:r>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(14)</w:t>
      </w:r>
      <w:r>
        <w:rPr>
          <w:rFonts w:ascii="Arial" w:hAnsi="Arial" w:cs="Arial"/>
          <w:sz w:val="20"/>
        </w:rPr>
        <w:fldChar w:fldCharType="end"/>
      </w:r>
      <w:r w:rsidRPr="00D43ECF">
        <w:rPr>
          <w:rFonts w:ascii="Arial" w:hAnsi="Arial" w:cs="Arial"/>
          <w:sz w:val="20"/>
        </w:rPr>
        <w:t>.</w:t>
      </w:r>
    </w:p>
    <w:p w14:paraId="5B96C79F" w14:textId="77777777" w:rsidR="00DB0BE1" w:rsidRPr="00D43ECF" w:rsidRDefault="00DB0BE1" w:rsidP="00DB0BE1">
      <w:pPr>
        <w:spacing w:after="0" w:line="334" w:lineRule="auto"/>
        <w:ind w:firstLine="567"/>
        <w:contextualSpacing/>
        <w:jc w:val="both"/>
        <w:rPr>
          <w:rFonts w:ascii="Arial" w:hAnsi="Arial" w:cs="Arial"/>
          <w:sz w:val="20"/>
          <w:szCs w:val="20"/>
        </w:rPr>
      </w:pPr>
      <w:r w:rsidRPr="00D43ECF">
        <w:rPr>
          <w:rFonts w:ascii="Arial" w:hAnsi="Arial" w:cs="Arial"/>
          <w:sz w:val="20"/>
          <w:szCs w:val="20"/>
        </w:rPr>
        <w:t xml:space="preserve">Based on the different combinations, the Pfizer vaccine combination had a higher AEFI than the Sinovac vaccine. During the initial 15 minutes of monitoring and the next 24-48 hours of monitoring, the second dosage of the Pfizer vaccine in this trial showed a larger AEFI than the first dose. This is consistent with the FDA analysis, which found that after the second dosage of the vaccine, local adverse </w:t>
      </w:r>
      <w:r w:rsidRPr="00D43ECF">
        <w:rPr>
          <w:rFonts w:ascii="Arial" w:hAnsi="Arial" w:cs="Arial"/>
          <w:sz w:val="20"/>
          <w:szCs w:val="20"/>
        </w:rPr>
        <w:t xml:space="preserve">effects were slightly more common than they were after the first dose </w:t>
      </w:r>
      <w:r>
        <w:rPr>
          <w:rFonts w:ascii="Arial" w:hAnsi="Arial" w:cs="Arial"/>
          <w:sz w:val="20"/>
          <w:szCs w:val="20"/>
        </w:rPr>
        <w:fldChar w:fldCharType="begin" w:fldLock="1"/>
      </w:r>
      <w:r>
        <w:rPr>
          <w:rFonts w:ascii="Arial" w:hAnsi="Arial" w:cs="Arial"/>
          <w:sz w:val="20"/>
          <w:szCs w:val="20"/>
        </w:rPr>
        <w:instrText xml:space="preserve">ADDIN CSL_CITATION {"citationItems":[{"id":"ITEM-1","itemData":{"DOI":"10.3390/jcm10071428","ISSN":"20770383","abstract":"Background: COVID-19 vaccine side effects have a fundamental role in public confidence in the vaccine and its uptake process. Thus far, the evidence on vaccine safety has exclusively been obtained from the manufacturer-sponsored studies; therefore, this study was designed to provide independent evidence on Pfizer–BioNTech COVID-19 vaccine side effects. Methods: A cross-sectional survey-based study was carried out between January and February 2021 to collect data on the side effects following the COVID-19 vaccine among healthcare workers in the Czech Republic. The study used a validated questionnaire with twenty-eight multiple-choice items covering the participants’ demographic data, medical anamneses, COVID-19-related anamneses, general, oral, and skin-related side effects. Results: Injection site pain (89.8%), fatigue (62.2%), headache (45.6%), muscle pain (37.1%), and chills (33.9%) </w:instrText>
      </w:r>
      <w:r>
        <w:rPr>
          <w:rFonts w:ascii="Arial" w:hAnsi="Arial" w:cs="Arial" w:hint="eastAsia"/>
          <w:sz w:val="20"/>
          <w:szCs w:val="20"/>
        </w:rPr>
        <w:instrText xml:space="preserve">were the most commonly reported side effects. All the general side effects were more prevalent among the </w:instrText>
      </w:r>
      <w:r>
        <w:rPr>
          <w:rFonts w:ascii="Arial" w:hAnsi="Arial" w:cs="Arial" w:hint="eastAsia"/>
          <w:sz w:val="20"/>
          <w:szCs w:val="20"/>
        </w:rPr>
        <w:instrText>≤</w:instrText>
      </w:r>
      <w:r>
        <w:rPr>
          <w:rFonts w:ascii="Arial" w:hAnsi="Arial" w:cs="Arial" w:hint="eastAsia"/>
          <w:sz w:val="20"/>
          <w:szCs w:val="20"/>
        </w:rPr>
        <w:instrText>43-year-old group, and their duration was mainly one day (45.1%) or three days (35.8%) following the vaccine. Antihistamines were the most common dru</w:instrText>
      </w:r>
      <w:r>
        <w:rPr>
          <w:rFonts w:ascii="Arial" w:hAnsi="Arial" w:cs="Arial"/>
          <w:sz w:val="20"/>
          <w:szCs w:val="20"/>
        </w:rPr>
        <w:instrText>gs associated with side effects, thus requiring further investigation. The people with two doses were generally associated with a higher frequency of side effects. Conclusions: The distribution of side effects among Czech healthcare workers was highly consistent with the manufacturer’s data, especially in terms of their association with the younger age group and the second dose. The overall prevalence of some local and systemic side effects was higher than the manufacturer’s report. Further independent studies on vaccine safety are strongly required to strengthen public confidence in the vaccine.","author":[{"dropping-particle":"","family":"Riad","given":"Abanoub","non-dropping-particle":"","parse-names":false,"suffix":""},{"dropping-particle":"","family":"Pokorná","given":"Andrea","non-dropping-particle":"","parse-names":false,"suffix":""},{"dropping-particle":"","family":"Attia","given":"Sameh","non-dropping-particle":"","parse-names":false,"suffix":""},{"dropping-particle":"","family":"Klugarová","given":"Jitka","non-dropping-particle":"","parse-names":false,"suffix":""},{"dropping-particle":"","family":"Koščík","given":"Michal","non-dropping-particle":"","parse-names":false,"suffix":""},{"dropping-particle":"","family":"Klugar","given":"Miloslav","non-dropping-particle":"","parse-names":false,"suffix":""}],"container-title":"Journal of Clinical Medicine","id":"ITEM-1","issue":"7","issued":{"date-parts":[["2021"]]},"title":"Prevalence of covid-19 vaccine side effects among healthcare workers in the Czech Republic","type":"article-journal","volume":"10"},"uris":["http://www.mendeley.com/documents/?uuid=e6d62f7f-1998-42fa-8b58-e2976a98d3ba"]}],"mendeley":{"formattedCitation":"(20)","plainTextFormattedCitation":"(20)","previouslyFormattedCitation":"(19)"},"properties":{"noteIndex":0},"schema":"https://github.com/citation-style-language/schema/raw/master/csl-citation.json"}</w:instrText>
      </w:r>
      <w:r>
        <w:rPr>
          <w:rFonts w:ascii="Arial" w:hAnsi="Arial" w:cs="Arial"/>
          <w:sz w:val="20"/>
          <w:szCs w:val="20"/>
        </w:rPr>
        <w:fldChar w:fldCharType="separate"/>
      </w:r>
      <w:r w:rsidRPr="00F31B78">
        <w:rPr>
          <w:rFonts w:ascii="Arial" w:hAnsi="Arial" w:cs="Arial"/>
          <w:noProof/>
          <w:sz w:val="20"/>
          <w:szCs w:val="20"/>
        </w:rPr>
        <w:t>(20)</w:t>
      </w:r>
      <w:r>
        <w:rPr>
          <w:rFonts w:ascii="Arial" w:hAnsi="Arial" w:cs="Arial"/>
          <w:sz w:val="20"/>
          <w:szCs w:val="20"/>
        </w:rPr>
        <w:fldChar w:fldCharType="end"/>
      </w:r>
      <w:r w:rsidRPr="00D43ECF">
        <w:rPr>
          <w:rFonts w:ascii="Arial" w:hAnsi="Arial" w:cs="Arial"/>
          <w:sz w:val="20"/>
          <w:szCs w:val="20"/>
        </w:rPr>
        <w:t xml:space="preserve">. This is consistent with research by </w:t>
      </w:r>
      <w:proofErr w:type="spellStart"/>
      <w:r w:rsidRPr="00D43ECF">
        <w:rPr>
          <w:rFonts w:ascii="Arial" w:hAnsi="Arial" w:cs="Arial"/>
          <w:sz w:val="20"/>
          <w:szCs w:val="20"/>
        </w:rPr>
        <w:t>Ripabelli</w:t>
      </w:r>
      <w:proofErr w:type="spellEnd"/>
      <w:r w:rsidRPr="00D43ECF">
        <w:rPr>
          <w:rFonts w:ascii="Arial" w:hAnsi="Arial" w:cs="Arial"/>
          <w:sz w:val="20"/>
          <w:szCs w:val="20"/>
        </w:rPr>
        <w:t xml:space="preserve">, which found that about 80% of people who participated in active surveillance disclosed at least one AEFI after the first or second dose. Additionally, it is consistent with earlier national studies for mRNA-based vaccinations, highlighting the lack of a significant difference between the two dosages. However, as seen elsewhere, some reactions commonly happen after the second </w:t>
      </w:r>
      <w:proofErr w:type="spellStart"/>
      <w:r w:rsidRPr="00D43ECF">
        <w:rPr>
          <w:rFonts w:ascii="Arial" w:hAnsi="Arial" w:cs="Arial"/>
          <w:sz w:val="20"/>
          <w:szCs w:val="20"/>
        </w:rPr>
        <w:t>döşe</w:t>
      </w:r>
      <w:proofErr w:type="spellEnd"/>
      <w:r w:rsidRPr="00D43ECF">
        <w:rPr>
          <w:rFonts w:ascii="Arial" w:hAnsi="Arial" w:cs="Arial"/>
          <w:sz w:val="20"/>
          <w:szCs w:val="20"/>
        </w:rPr>
        <w:t xml:space="preserve"> </w:t>
      </w:r>
      <w:r>
        <w:rPr>
          <w:rFonts w:ascii="Arial" w:hAnsi="Arial" w:cs="Arial"/>
          <w:sz w:val="20"/>
        </w:rPr>
        <w:fldChar w:fldCharType="begin" w:fldLock="1"/>
      </w:r>
      <w:r>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Pr>
          <w:rFonts w:ascii="Arial" w:hAnsi="Arial" w:cs="Arial" w:hint="eastAsia"/>
          <w:sz w:val="20"/>
        </w:rPr>
        <w:instrText>≤</w:instrText>
      </w:r>
      <w:r>
        <w:rPr>
          <w:rFonts w:ascii="Arial" w:hAnsi="Arial" w:cs="Arial" w:hint="eastAsia"/>
          <w:sz w:val="20"/>
        </w:rPr>
        <w:instrText xml:space="preserve"> 55 years was a ri</w:instrText>
      </w:r>
      <w:r>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(14)</w:t>
      </w:r>
      <w:r>
        <w:rPr>
          <w:rFonts w:ascii="Arial" w:hAnsi="Arial" w:cs="Arial"/>
          <w:sz w:val="20"/>
        </w:rPr>
        <w:fldChar w:fldCharType="end"/>
      </w:r>
      <w:r>
        <w:rPr>
          <w:rFonts w:ascii="Arial" w:hAnsi="Arial" w:cs="Arial"/>
          <w:sz w:val="20"/>
        </w:rPr>
        <w:t xml:space="preserve">. </w:t>
      </w:r>
      <w:r w:rsidRPr="00D43ECF">
        <w:rPr>
          <w:rFonts w:ascii="Arial" w:hAnsi="Arial" w:cs="Arial"/>
          <w:sz w:val="20"/>
          <w:szCs w:val="20"/>
        </w:rPr>
        <w:t xml:space="preserve">The investigation by Maruyama et al. into the Pfizer vaccine related to AEFI revealed that the incidence of systemic reactions increased following the second dose, which is consistent with the results of the earlier study </w:t>
      </w:r>
      <w:r>
        <w:rPr>
          <w:rFonts w:ascii="Arial" w:hAnsi="Arial" w:cs="Arial"/>
          <w:sz w:val="20"/>
          <w:szCs w:val="20"/>
        </w:rPr>
        <w:fldChar w:fldCharType="begin" w:fldLock="1"/>
      </w:r>
      <w:r>
        <w:rPr>
          <w:rFonts w:ascii="Arial" w:hAnsi="Arial" w:cs="Arial"/>
          <w:sz w:val="20"/>
          <w:szCs w:val="20"/>
        </w:rPr>
        <w:instrText>ADDIN CSL_CITATION {"citationItems":[{"id":"ITEM-1","itemData":{"DOI":"10.1016/j.jiac.2022.03.015","ISSN":"14377780","PMID":"35361536","abstract":"Introduction: In the current coronavirus infection 2019 (COVID-19) pandemic, the messenger RNA vaccines have been shown to help protect high-risk groups from COVID-19. Among healthcare workers vaccinated with Pfizer-BioNTech COVID-19 vaccine, a survey was conducted to analyze the relationship between the incidence and severity of adverse reactions after vaccination. Methods: We conducted a prospective self-reported survey of adverse reactions among healthcare workers vaccinated with the Pfizer-BioNTech COVID-19 vaccine (Comirnaty®) in Japan. After the first and second dose of vaccine, local and systemic reactions for 8 days after vaccination were reported by volunteer participants using a website. After receiving vaccination, 374 respondents participated in this matched-pair study. Results: Both the incidence and severity of adverse reactions tended to be higher after the second vaccine dose than after the first dose. However, the incidence and numeric rating scale (NRS) score of muscle and skin pain were nearly the same after the first and second doses. In a comparison by sex, women had significantly higher incidence and NRS scores for adverse reactions such as headache, skin pain, erythema, and itching. The results also showed that younger age groups had higher incidence rates and NRS scores for all adverse reactions investigated, except for muscle pain, compared with older age groups. Conclusion: Some adverse reactions to the Pfizer-BioNTech Comirnaty® COVID-19 vaccine showed gender and age differences. However, generally speaking, all side reactions disappear within a week. Therefore, these side reactions are not a significant concern in recommending vaccination.","author":[{"dropping-particle":"","family":"Maruyama","given":"Ayano","non-dropping-particle":"","parse-names":false,"suffix":""},{"dropping-particle":"","family":"Sawa","given":"Teiji","non-dropping-particle":"","parse-names":false,"suffix":""},{"dropping-particle":"","family":"Teramukai","given":"Satoshi","non-dropping-particle":"","parse-names":false,"suffix":""},{"dropping-particle":"","family":"Katoh","given":"Norito","non-dropping-particle":"","parse-names":false,"suffix":""}],"container-title":"Journal of Infection and Chemotherapy","id":"ITEM-1","issue":"7","issued":{"date-parts":[["2022"]]},"page":"934-942","publisher":"Elsevier Ltd","title":"Adverse reactions to the first and second doses of Pfizer-BioNTech COVID-19 vaccine among healthcare workers","type":"article-journal","volume":"28"},"uris":["http://www.mendeley.com/documents/?uuid=e23e47de-0570-4989-96dd-5712e6f43a05"]}],"mendeley":{"formattedCitation":"(21)","plainTextFormattedCitation":"(21)","previouslyFormattedCitation":"(20)"},"properties":{"noteIndex":0},"schema":"https://github.com/citation-style-language/schema/raw/master/csl-citation.json"}</w:instrText>
      </w:r>
      <w:r>
        <w:rPr>
          <w:rFonts w:ascii="Arial" w:hAnsi="Arial" w:cs="Arial"/>
          <w:sz w:val="20"/>
          <w:szCs w:val="20"/>
        </w:rPr>
        <w:fldChar w:fldCharType="separate"/>
      </w:r>
      <w:r w:rsidRPr="00F31B78">
        <w:rPr>
          <w:rFonts w:ascii="Arial" w:hAnsi="Arial" w:cs="Arial"/>
          <w:noProof/>
          <w:sz w:val="20"/>
          <w:szCs w:val="20"/>
        </w:rPr>
        <w:t>(21)</w:t>
      </w:r>
      <w:r>
        <w:rPr>
          <w:rFonts w:ascii="Arial" w:hAnsi="Arial" w:cs="Arial"/>
          <w:sz w:val="20"/>
          <w:szCs w:val="20"/>
        </w:rPr>
        <w:fldChar w:fldCharType="end"/>
      </w:r>
      <w:r>
        <w:rPr>
          <w:rFonts w:ascii="Arial" w:hAnsi="Arial" w:cs="Arial"/>
          <w:sz w:val="20"/>
          <w:szCs w:val="20"/>
        </w:rPr>
        <w:t xml:space="preserve">. </w:t>
      </w:r>
      <w:r w:rsidRPr="00D43ECF">
        <w:rPr>
          <w:rFonts w:ascii="Arial" w:hAnsi="Arial" w:cs="Arial"/>
          <w:sz w:val="20"/>
          <w:szCs w:val="20"/>
        </w:rPr>
        <w:t>In contrast, it cannot further examine which vaccination combination substantially impacts the occurrence of AEFI due to the less widespread distribution of the vaccine variety.</w:t>
      </w:r>
    </w:p>
    <w:p w14:paraId="4274FE98" w14:textId="77777777" w:rsidR="00DB0BE1" w:rsidRDefault="00DB0BE1" w:rsidP="00DB0BE1">
      <w:pPr>
        <w:spacing w:after="0" w:line="334" w:lineRule="auto"/>
        <w:ind w:firstLine="567"/>
        <w:contextualSpacing/>
        <w:jc w:val="both"/>
        <w:rPr>
          <w:rFonts w:ascii="Arial" w:hAnsi="Arial" w:cs="Arial"/>
          <w:sz w:val="20"/>
          <w:szCs w:val="20"/>
        </w:rPr>
      </w:pPr>
      <w:r w:rsidRPr="00D43ECF">
        <w:rPr>
          <w:rFonts w:ascii="Arial" w:hAnsi="Arial" w:cs="Arial"/>
          <w:sz w:val="20"/>
          <w:szCs w:val="20"/>
        </w:rPr>
        <w:t xml:space="preserve">In this research, some participants who experienced AEFIs took medication independently. The most consumed drug by participants to relieve AEFI symptoms is Paracetamol. This is consistent with </w:t>
      </w:r>
      <w:proofErr w:type="spellStart"/>
      <w:r w:rsidRPr="00D43ECF">
        <w:rPr>
          <w:rFonts w:ascii="Arial" w:hAnsi="Arial" w:cs="Arial"/>
          <w:sz w:val="20"/>
          <w:szCs w:val="20"/>
        </w:rPr>
        <w:t>Ripabelli</w:t>
      </w:r>
      <w:proofErr w:type="spellEnd"/>
      <w:r w:rsidRPr="00D43ECF">
        <w:rPr>
          <w:rFonts w:ascii="Arial" w:hAnsi="Arial" w:cs="Arial"/>
          <w:sz w:val="20"/>
          <w:szCs w:val="20"/>
        </w:rPr>
        <w:t xml:space="preserve"> et al., who found that 141 participants (50.2%) reported adverse effects after receiving Pfizer's second dose (n = 281). These participants were treated for their symptoms mostly with paracetamol (n = 101, 71, 6%), followed by NSAIDs (n = 21, 14.9%) </w:t>
      </w:r>
      <w:r>
        <w:rPr>
          <w:rFonts w:ascii="Arial" w:hAnsi="Arial" w:cs="Arial"/>
          <w:sz w:val="20"/>
        </w:rPr>
        <w:fldChar w:fldCharType="begin" w:fldLock="1"/>
      </w:r>
      <w:r>
        <w:rPr>
          <w:rFonts w:ascii="Arial" w:hAnsi="Arial" w:cs="Arial"/>
          <w:sz w:val="20"/>
        </w:rPr>
        <w:instrText>ADDIN CSL_CITATION {"citationItems":[{"id":"ITEM-1","itemData":{"DOI":"10.1007/s10900-021-01039-3","ISBN":"0123456789","ISSN":"15733610","PMID":"34628568","abstract":"In this cross-sectional study, adverse events after the first and second dose of BNT162b2 mRNA (Pfizer-BioNTech, Comirnaty) vaccine against coronavirus disease 2019 were investigated among employees of clinics in central Italy. A 42-items questionnaire was administrated to vaccine recipients. Adverse events were classified based on severity and occurrence as reported in the literature. A descriptive/univariate analysis using Chi-square or Fisher’s Exact tests was performed. Odds ratio (OR) and 95% confidence intervals were calculated to assess risk factors. 340 individuals (61.5% females; median age 49 years) participated. Adverse events were reported by 279 (82%) and 281 (82.6%) individuals as induced by the first and second dose, respectively. Mild reactions were mainly reported (80.9% and 80.3%), followed by moderate (11.8% and 37.1%) and</w:instrText>
      </w:r>
      <w:r>
        <w:rPr>
          <w:rFonts w:ascii="Arial" w:hAnsi="Arial" w:cs="Arial" w:hint="eastAsia"/>
          <w:sz w:val="20"/>
        </w:rPr>
        <w:instrText xml:space="preserve"> severe (3.8% and 4.7%). Adverse events were identical to those already described as very common (81.8% and 80.6%), although vaccine-coincidental events not cited in the literature were reported by 6% and 15.6% following each dose. Age </w:instrText>
      </w:r>
      <w:r>
        <w:rPr>
          <w:rFonts w:ascii="Arial" w:hAnsi="Arial" w:cs="Arial" w:hint="eastAsia"/>
          <w:sz w:val="20"/>
        </w:rPr>
        <w:instrText>≤</w:instrText>
      </w:r>
      <w:r>
        <w:rPr>
          <w:rFonts w:ascii="Arial" w:hAnsi="Arial" w:cs="Arial" w:hint="eastAsia"/>
          <w:sz w:val="20"/>
        </w:rPr>
        <w:instrText xml:space="preserve"> 55 years was a ri</w:instrText>
      </w:r>
      <w:r>
        <w:rPr>
          <w:rFonts w:ascii="Arial" w:hAnsi="Arial" w:cs="Arial"/>
          <w:sz w:val="20"/>
        </w:rPr>
        <w:instrText>sk factor for any adverse event after each injection (ORs: 2.942 and 2.818), as well as female sex for those mild (ORs: 1.856 and 2.818) and common (ORs: 3.452 and 2.145). Findings were consistent with national reports as most of the adverse events were mild and associated with female sex and young age, while investigations are needed for reactions not described elsewhere. Data are useful to support the vaccine safety profile, also because largely targeted healthcare personnel more skilled than general population in self-diagnosis of health-related issues.","author":[{"dropping-particle":"","family":"Ripabelli","given":"Giancarlo","non-dropping-particle":"","parse-names":false,"suffix":""},{"dropping-particle":"","family":"Tamburro","given":"Manuela","non-dropping-particle":"","parse-names":false,"suffix":""},{"dropping-particle":"","family":"Buccieri","given":"Nicandro","non-dropping-particle":"","parse-names":false,"suffix":""},{"dropping-particle":"","family":"Adesso","given":"Carmen","non-dropping-particle":"","parse-names":false,"suffix":""},{"dropping-particle":"","family":"Caggiano","given":"Valeria","non-dropping-particle":"","parse-names":false,"suffix":""},{"dropping-particle":"","family":"Cannizzaro","given":"Fabio","non-dropping-particle":"","parse-names":false,"suffix":""},{"dropping-particle":"","family":"Palma","given":"Michela Anna","non-dropping-particle":"Di","parse-names":false,"suffix":""},{"dropping-particle":"","family":"Mantuano","given":"Gloria","non-dropping-particle":"","parse-names":false,"suffix":""},{"dropping-particle":"","family":"Montemitro","given":"Valeria Giovanna","non-dropping-particle":"","parse-names":false,"suffix":""},{"dropping-particle":"","family":"Natale","given":"Anna","non-dropping-particle":"","parse-names":false,"suffix":""},{"dropping-particle":"","family":"Rodio","given":"Leonardo","non-dropping-particle":"","parse-names":false,"suffix":""},{"dropping-particle":"","family":"Sammarco","given":"Michela Lucia","non-dropping-particle":"","parse-names":false,"suffix":""}],"container-title":"Journal of Community Health","id":"ITEM-1","issue":"2","issued":{"date-parts":[["2022"]]},"page":"211-225","publisher":"Springer US","title":"Active Surveillance of Adverse Events in Healthcare Workers Recipients After Vaccination with COVID-19 BNT162b2 Vaccine (Pfizer-BioNTech, Comirnaty): A Cross-Sectional Study","type":"article-journal","volume":"47"},"uris":["http://www.mendeley.com/documents/?uuid=98f4cb07-5e4b-4e39-984e-d90930cf8933"]}],"mendeley":{"formattedCitation":"(14)","plainTextFormattedCitation":"(14)","previouslyFormattedCitation":"(14)"},"properties":{"noteIndex":0},"schema":"https://github.com/citation-style-language/schema/raw/master/csl-citation.json"}</w:instrText>
      </w:r>
      <w:r>
        <w:rPr>
          <w:rFonts w:ascii="Arial" w:hAnsi="Arial" w:cs="Arial"/>
          <w:sz w:val="20"/>
        </w:rPr>
        <w:fldChar w:fldCharType="separate"/>
      </w:r>
      <w:r w:rsidRPr="005F5317">
        <w:rPr>
          <w:rFonts w:ascii="Arial" w:hAnsi="Arial" w:cs="Arial"/>
          <w:noProof/>
          <w:sz w:val="20"/>
        </w:rPr>
        <w:t>(14)</w:t>
      </w:r>
      <w:r>
        <w:rPr>
          <w:rFonts w:ascii="Arial" w:hAnsi="Arial" w:cs="Arial"/>
          <w:sz w:val="20"/>
        </w:rPr>
        <w:fldChar w:fldCharType="end"/>
      </w:r>
      <w:r w:rsidRPr="00D43ECF">
        <w:rPr>
          <w:rFonts w:ascii="Arial" w:hAnsi="Arial" w:cs="Arial"/>
          <w:sz w:val="20"/>
          <w:szCs w:val="20"/>
        </w:rPr>
        <w:t xml:space="preserve">. According to Mohsin et al., more than 70% of responders who had Pfizer and Moderna vaccine adverse effects took medicine. On the other hand, only 9.87% of individuals took medication and had side effects after getting Sinopharm vaccinations </w:t>
      </w:r>
      <w:r>
        <w:rPr>
          <w:rFonts w:ascii="Arial" w:hAnsi="Arial" w:cs="Arial"/>
          <w:sz w:val="20"/>
        </w:rPr>
        <w:fldChar w:fldCharType="begin" w:fldLock="1"/>
      </w:r>
      <w:r>
        <w:rPr>
          <w:rFonts w:ascii="Arial" w:hAnsi="Arial" w:cs="Arial"/>
          <w:sz w:val="20"/>
        </w:rPr>
        <w:instrText>ADDIN CSL_CITATION {"citationItems":[{"id":"ITEM-1","itemData":{"DOI":"10.1016/j.jvacx.2022.100207","ISSN":"25901362","abstract":"Objective: One of the primary reasons for hesitancy in taking COVID-19 vaccines is the fear of side effects. This study primarily aimed to inspect the potential side effects of the COVID-19 vaccines circulated in Bangladesh. Design and Settings. The study was based on a cross-sectional anonymous online survey conducted in December 2021 across Bangladesh. Participants. The study included consenting Bangladeshi individuals aged 12 and above who had received at least one dose of the COVID-19 vaccines. Main Outcome. Analyses were carried out through exploratory analysis, Chi-square test, and logistic regression to investigate potential side effects of the COVID-19 vaccines. Results: A total of 1,180 vaccinated people participated in the study. Only 39.48% of the participants reported at least one side effect after receiving their COVID-19 vaccine. Injection-site pain, fever, headache, redness/swelling at the injection site, and lethargy were the most commonly reported adverse effects, all of which were mild and lasted 1–3 days. Side effects were most prevalent (about 80%) among individuals who received Pfizer-BioNTech and Moderna vaccines and were least common among those who received Sinopharm and Sinovac vaccines (21%-28%). When compared to the Sinopharm vaccines, the OxfordAstraZeneca, Pfizer-BioNTech, and Moderna vaccines were 4.51 times (95% CI: 2.53–8.04), 5.37 times (95% CI: 2.57–11.22), and 4.28 times (95% CI: 2.28–8.05) likelier to produce side effects. Furthermore, males, those over 50 years old, urban dwellers, smokers, and those with underlying health issues had a considerably increased risk of developing side effects. A lack of confidence in vaccines' efficacy and a substantial level of hesitancy in allowing children (age five years or over) and older people (70 years or over) to receive COVID-19 vaccines were also observed. Conclusion: Side effects of COVID-19 vaccines are minimal, demonstrating their safety. Efforts should be made to disseminate such findings worldwide to increase vaccine uptake.","author":[{"dropping-particle":"","family":"Mohsin","given":"Md","non-dropping-particle":"","parse-names":false,"suffix":""},{"dropping-particle":"","family":"Mahmud","given":"Sultan","non-dropping-particle":"","parse-names":false,"suffix":""},{"dropping-particle":"","family":"Uddin Mian","given":"Ashraf","non-dropping-particle":"","parse-names":false,"suffix":""},{"dropping-particle":"","family":"Hasan","given":"Prottay","non-dropping-particle":"","parse-names":false,"suffix":""},{"dropping-particle":"","family":"Muyeed","given":"Abdul","non-dropping-particle":"","parse-names":false,"suffix":""},{"dropping-particle":"","family":"Taif Ali","given":"Md","non-dropping-particle":"","parse-names":false,"suffix":""},{"dropping-particle":"","family":"Faysal Ahmed","given":"Fee","non-dropping-particle":"","parse-names":false,"suffix":""},{"dropping-particle":"","family":"Islam","given":"Ariful","non-dropping-particle":"","parse-names":false,"suffix":""},{"dropping-particle":"","family":"Maliha Rahman","given":"Maisha","non-dropping-particle":"","parse-names":false,"suffix":""},{"dropping-particle":"","family":"Islam","given":"Mahfuza","non-dropping-particle":"","parse-names":false,"suffix":""},{"dropping-particle":"","family":"Rahaman Khan","given":"Md Hasinur","non-dropping-particle":"","parse-names":false,"suffix":""},{"dropping-particle":"","family":"Shafiqur Rahman","given":"M.","non-dropping-particle":"","parse-names":false,"suffix":""}],"container-title":"Vaccine: X","id":"ITEM-1","issued":{"date-parts":[["2022"]]},"page":"100207","publisher":"The Author(s)","title":"Side effects of COVID-19 vaccines and perceptions about COVID-19 and its vaccines in Bangladesh: A Cross-sectional study","type":"article-journal","volume":"12"},"uris":["http://www.mendeley.com/documents/?uuid=9626a789-e2a6-4655-9965-b5e2d01b5775"]}],"mendeley":{"formattedCitation":"(7)","plainTextFormattedCitation":"(7)","previouslyFormattedCitation":"(7)"},"properties":{"noteIndex":0},"schema":"https://github.com/citation-style-language/schema/raw/master/csl-citation.json"}</w:instrText>
      </w:r>
      <w:r>
        <w:rPr>
          <w:rFonts w:ascii="Arial" w:hAnsi="Arial" w:cs="Arial"/>
          <w:sz w:val="20"/>
        </w:rPr>
        <w:fldChar w:fldCharType="separate"/>
      </w:r>
      <w:r w:rsidRPr="009D3671">
        <w:rPr>
          <w:rFonts w:ascii="Arial" w:hAnsi="Arial" w:cs="Arial"/>
          <w:noProof/>
          <w:sz w:val="20"/>
        </w:rPr>
        <w:t>(7)</w:t>
      </w:r>
      <w:r>
        <w:rPr>
          <w:rFonts w:ascii="Arial" w:hAnsi="Arial" w:cs="Arial"/>
          <w:sz w:val="20"/>
        </w:rPr>
        <w:fldChar w:fldCharType="end"/>
      </w:r>
      <w:r w:rsidRPr="00D43ECF">
        <w:rPr>
          <w:rFonts w:ascii="Arial" w:hAnsi="Arial" w:cs="Arial"/>
          <w:sz w:val="20"/>
          <w:szCs w:val="20"/>
        </w:rPr>
        <w:t>.</w:t>
      </w:r>
    </w:p>
    <w:p w14:paraId="1D57F346" w14:textId="77777777" w:rsidR="00DB0BE1" w:rsidRDefault="00DB0BE1" w:rsidP="00DB0BE1">
      <w:pPr>
        <w:spacing w:after="0" w:line="334" w:lineRule="auto"/>
        <w:ind w:firstLine="567"/>
        <w:contextualSpacing/>
        <w:jc w:val="both"/>
        <w:rPr>
          <w:rFonts w:ascii="Arial" w:hAnsi="Arial" w:cs="Arial"/>
          <w:sz w:val="20"/>
          <w:szCs w:val="20"/>
        </w:rPr>
      </w:pPr>
    </w:p>
    <w:p w14:paraId="521C870A" w14:textId="77777777" w:rsidR="00DB0BE1" w:rsidRDefault="00DB0BE1" w:rsidP="00DB0BE1">
      <w:pPr>
        <w:spacing w:after="0" w:line="334" w:lineRule="auto"/>
        <w:contextualSpacing/>
        <w:jc w:val="both"/>
        <w:rPr>
          <w:rFonts w:ascii="Arial" w:hAnsi="Arial" w:cs="Arial"/>
          <w:b/>
          <w:bCs/>
          <w:color w:val="363435"/>
          <w:sz w:val="20"/>
          <w:szCs w:val="20"/>
        </w:rPr>
      </w:pPr>
      <w:r>
        <w:rPr>
          <w:rFonts w:ascii="Arial" w:hAnsi="Arial" w:cs="Arial"/>
          <w:b/>
          <w:bCs/>
          <w:color w:val="363435"/>
          <w:sz w:val="20"/>
          <w:szCs w:val="20"/>
        </w:rPr>
        <w:t>LIMITATION</w:t>
      </w:r>
    </w:p>
    <w:p w14:paraId="2B7576D5" w14:textId="77777777" w:rsidR="00DB0BE1" w:rsidRDefault="00DB0BE1" w:rsidP="00DB0BE1">
      <w:pPr>
        <w:spacing w:after="0" w:line="334" w:lineRule="auto"/>
        <w:contextualSpacing/>
        <w:jc w:val="both"/>
        <w:rPr>
          <w:rFonts w:ascii="Arial" w:hAnsi="Arial" w:cs="Arial"/>
          <w:b/>
          <w:bCs/>
          <w:color w:val="363435"/>
          <w:sz w:val="20"/>
          <w:szCs w:val="20"/>
        </w:rPr>
      </w:pPr>
      <w:r w:rsidRPr="00021A24">
        <w:rPr>
          <w:rFonts w:cs="Calibri"/>
          <w:b/>
          <w:bCs/>
          <w:color w:val="363435"/>
          <w:sz w:val="20"/>
          <w:szCs w:val="20"/>
        </w:rPr>
        <w:t>﻿</w:t>
      </w:r>
      <w:r w:rsidRPr="00021A24">
        <w:rPr>
          <w:rFonts w:ascii="Arial" w:hAnsi="Arial" w:cs="Arial"/>
          <w:color w:val="363435"/>
          <w:sz w:val="20"/>
          <w:szCs w:val="20"/>
        </w:rPr>
        <w:t>This study has some limitations. Following the vaccine, we only conducted a one-week follow-up. To evaluate late symptoms of immunization, long-term follow-up is required.</w:t>
      </w:r>
      <w:r>
        <w:rPr>
          <w:rFonts w:ascii="Arial" w:hAnsi="Arial" w:cs="Arial"/>
          <w:color w:val="363435"/>
          <w:sz w:val="20"/>
          <w:szCs w:val="20"/>
        </w:rPr>
        <w:t xml:space="preserve"> </w:t>
      </w:r>
      <w:r w:rsidRPr="00BB0299">
        <w:rPr>
          <w:rFonts w:ascii="Arial" w:hAnsi="Arial" w:cs="Arial"/>
          <w:color w:val="363435"/>
          <w:sz w:val="20"/>
          <w:szCs w:val="20"/>
        </w:rPr>
        <w:t>Despite the fact that a high quality of data was acquired due to the target population's degree of knowledge and skills about health concerns and their ability to recognize post-vaccination symptoms, the use of self-reported data might potentially create misclassification bias.</w:t>
      </w:r>
      <w:r>
        <w:rPr>
          <w:rFonts w:ascii="Arial" w:hAnsi="Arial" w:cs="Arial"/>
          <w:color w:val="363435"/>
          <w:sz w:val="20"/>
          <w:szCs w:val="20"/>
        </w:rPr>
        <w:t xml:space="preserve"> </w:t>
      </w:r>
      <w:r w:rsidRPr="00BB0299">
        <w:rPr>
          <w:rFonts w:ascii="Arial" w:hAnsi="Arial" w:cs="Arial"/>
          <w:color w:val="363435"/>
          <w:sz w:val="20"/>
          <w:szCs w:val="20"/>
        </w:rPr>
        <w:lastRenderedPageBreak/>
        <w:t>Additionally, we didn't conduct immunological testing to demonstrate the respondents' immune responses.</w:t>
      </w:r>
    </w:p>
    <w:p w14:paraId="545C87F1" w14:textId="77777777" w:rsidR="00DB0BE1" w:rsidRDefault="00DB0BE1" w:rsidP="00DB0BE1">
      <w:pPr>
        <w:spacing w:after="0" w:line="334" w:lineRule="auto"/>
        <w:contextualSpacing/>
        <w:jc w:val="both"/>
        <w:rPr>
          <w:rFonts w:ascii="Arial" w:hAnsi="Arial" w:cs="Arial"/>
          <w:b/>
          <w:bCs/>
          <w:color w:val="363435"/>
          <w:sz w:val="20"/>
          <w:szCs w:val="20"/>
        </w:rPr>
      </w:pPr>
    </w:p>
    <w:p w14:paraId="7CD81C16" w14:textId="77777777" w:rsidR="00DB0BE1" w:rsidRPr="002A60E3" w:rsidRDefault="00DB0BE1" w:rsidP="00DB0BE1">
      <w:pPr>
        <w:spacing w:after="0" w:line="334" w:lineRule="auto"/>
        <w:contextualSpacing/>
        <w:jc w:val="both"/>
        <w:rPr>
          <w:rFonts w:ascii="Arial" w:hAnsi="Arial" w:cs="Arial"/>
          <w:b/>
          <w:bCs/>
          <w:color w:val="363435"/>
          <w:sz w:val="20"/>
          <w:szCs w:val="20"/>
        </w:rPr>
      </w:pPr>
      <w:r w:rsidRPr="002A60E3">
        <w:rPr>
          <w:rFonts w:ascii="Arial" w:hAnsi="Arial" w:cs="Arial"/>
          <w:b/>
          <w:bCs/>
          <w:color w:val="363435"/>
          <w:sz w:val="20"/>
          <w:szCs w:val="20"/>
        </w:rPr>
        <w:t>CONCLUSION</w:t>
      </w:r>
    </w:p>
    <w:p w14:paraId="09BA7BA5" w14:textId="77777777" w:rsidR="00DB0BE1" w:rsidRPr="002A60E3" w:rsidRDefault="00DB0BE1" w:rsidP="00DB0BE1">
      <w:pPr>
        <w:autoSpaceDE w:val="0"/>
        <w:autoSpaceDN w:val="0"/>
        <w:adjustRightInd w:val="0"/>
        <w:spacing w:before="240" w:after="120" w:line="334" w:lineRule="auto"/>
        <w:ind w:firstLine="567"/>
        <w:contextualSpacing/>
        <w:jc w:val="both"/>
        <w:rPr>
          <w:rFonts w:ascii="Arial" w:hAnsi="Arial" w:cs="Arial"/>
          <w:sz w:val="20"/>
          <w:szCs w:val="20"/>
        </w:rPr>
      </w:pPr>
      <w:r w:rsidRPr="002A60E3">
        <w:rPr>
          <w:rFonts w:ascii="Arial" w:hAnsi="Arial" w:cs="Arial"/>
          <w:sz w:val="20"/>
          <w:szCs w:val="20"/>
        </w:rPr>
        <w:t>This study reveals that Pfizer and Sinovac Covid-19 vaccines are safe to administer as AEFIs are mostly mild and automatically disappear and decrease after 1 to 3 days. This study shows that Pfizer and Sinovac Covid-19 vaccines are safe to use because AEFIs are often mild and gradually disappear within 1 to 3 days. This research offers a thorough analysis of the variables influencing AEFIs in immunization participants at the University of Indonesia Hospital. The findings of this study demonstrated that female participants with comorbidities, prior allergy history, history of medication use during the past six months, and history of covid-19 have a higher risk of AEFI and a statistically significant effect (p &lt;0.005). Additionally, people getting mRNA immunization should have more close monitoring than those receiving inactivated vaccines because the Pfizer vaccine dramatically worsens side effects than the Sinovac vaccine.</w:t>
      </w:r>
    </w:p>
    <w:p w14:paraId="522621F6" w14:textId="77777777" w:rsidR="00DB0BE1" w:rsidRPr="002A60E3" w:rsidRDefault="00DB0BE1" w:rsidP="00DB0BE1">
      <w:pPr>
        <w:autoSpaceDE w:val="0"/>
        <w:autoSpaceDN w:val="0"/>
        <w:adjustRightInd w:val="0"/>
        <w:spacing w:before="240" w:after="120" w:line="334" w:lineRule="auto"/>
        <w:ind w:firstLine="567"/>
        <w:contextualSpacing/>
        <w:jc w:val="both"/>
        <w:rPr>
          <w:rFonts w:ascii="Arial" w:hAnsi="Arial" w:cs="Arial"/>
          <w:sz w:val="20"/>
          <w:szCs w:val="20"/>
        </w:rPr>
      </w:pPr>
    </w:p>
    <w:p w14:paraId="1BF1BCFA" w14:textId="77777777" w:rsidR="00DB0BE1" w:rsidRPr="002A60E3" w:rsidRDefault="00DB0BE1" w:rsidP="00DB0BE1">
      <w:pPr>
        <w:autoSpaceDE w:val="0"/>
        <w:autoSpaceDN w:val="0"/>
        <w:adjustRightInd w:val="0"/>
        <w:spacing w:before="240" w:after="120" w:line="334" w:lineRule="auto"/>
        <w:contextualSpacing/>
        <w:jc w:val="both"/>
        <w:rPr>
          <w:rFonts w:ascii="Arial" w:hAnsi="Arial" w:cs="Arial"/>
          <w:b/>
          <w:bCs/>
          <w:color w:val="363435"/>
          <w:sz w:val="20"/>
          <w:szCs w:val="20"/>
        </w:rPr>
      </w:pPr>
      <w:r w:rsidRPr="002A60E3">
        <w:rPr>
          <w:rFonts w:ascii="Arial" w:hAnsi="Arial" w:cs="Arial"/>
          <w:b/>
          <w:bCs/>
          <w:color w:val="363435"/>
          <w:sz w:val="20"/>
          <w:szCs w:val="20"/>
        </w:rPr>
        <w:t>Acknowledgments</w:t>
      </w:r>
    </w:p>
    <w:p w14:paraId="23EB77CC" w14:textId="77777777" w:rsidR="00DB0BE1" w:rsidRPr="002A60E3" w:rsidRDefault="00DB0BE1" w:rsidP="00DB0BE1">
      <w:pPr>
        <w:autoSpaceDE w:val="0"/>
        <w:autoSpaceDN w:val="0"/>
        <w:adjustRightInd w:val="0"/>
        <w:spacing w:before="120" w:after="120" w:line="334" w:lineRule="auto"/>
        <w:contextualSpacing/>
        <w:jc w:val="both"/>
        <w:rPr>
          <w:rFonts w:ascii="Arial" w:hAnsi="Arial" w:cs="Arial"/>
          <w:sz w:val="20"/>
          <w:szCs w:val="20"/>
        </w:rPr>
      </w:pPr>
      <w:r w:rsidRPr="002A60E3">
        <w:rPr>
          <w:rFonts w:ascii="Arial" w:hAnsi="Arial" w:cs="Arial"/>
          <w:sz w:val="20"/>
          <w:szCs w:val="20"/>
        </w:rPr>
        <w:t>The researcher highly appreciates the supervisors for the valuable discussions and vaccination clinics at the University of Indonesia Hospital for their valuable support.</w:t>
      </w:r>
    </w:p>
    <w:p w14:paraId="1B5F90B2" w14:textId="77777777" w:rsidR="00DB0BE1" w:rsidRPr="002A60E3" w:rsidRDefault="00DB0BE1" w:rsidP="00DB0BE1">
      <w:pPr>
        <w:autoSpaceDE w:val="0"/>
        <w:autoSpaceDN w:val="0"/>
        <w:adjustRightInd w:val="0"/>
        <w:spacing w:before="120" w:after="120" w:line="334" w:lineRule="auto"/>
        <w:contextualSpacing/>
        <w:jc w:val="both"/>
        <w:rPr>
          <w:rFonts w:ascii="Arial" w:hAnsi="Arial" w:cs="Arial"/>
          <w:sz w:val="20"/>
          <w:szCs w:val="20"/>
        </w:rPr>
      </w:pPr>
    </w:p>
    <w:p w14:paraId="3C3ED05C" w14:textId="77777777" w:rsidR="00DB0BE1" w:rsidRPr="002A60E3" w:rsidRDefault="00DB0BE1" w:rsidP="00DB0BE1">
      <w:pPr>
        <w:autoSpaceDE w:val="0"/>
        <w:autoSpaceDN w:val="0"/>
        <w:adjustRightInd w:val="0"/>
        <w:spacing w:before="120" w:after="120" w:line="334" w:lineRule="auto"/>
        <w:contextualSpacing/>
        <w:jc w:val="both"/>
        <w:rPr>
          <w:rFonts w:ascii="Arial" w:hAnsi="Arial" w:cs="Arial"/>
          <w:sz w:val="20"/>
          <w:szCs w:val="20"/>
        </w:rPr>
      </w:pPr>
      <w:r w:rsidRPr="002A60E3">
        <w:rPr>
          <w:rFonts w:ascii="Arial" w:hAnsi="Arial" w:cs="Arial"/>
          <w:b/>
          <w:bCs/>
          <w:color w:val="363435"/>
          <w:sz w:val="20"/>
          <w:szCs w:val="20"/>
        </w:rPr>
        <w:t>Conflict of Interest</w:t>
      </w:r>
    </w:p>
    <w:p w14:paraId="50CC2F24" w14:textId="77777777" w:rsidR="00DB0BE1" w:rsidRPr="002A60E3" w:rsidRDefault="00DB0BE1" w:rsidP="00DB0BE1">
      <w:pPr>
        <w:spacing w:line="334" w:lineRule="auto"/>
        <w:contextualSpacing/>
        <w:jc w:val="both"/>
        <w:rPr>
          <w:rFonts w:ascii="Arial" w:hAnsi="Arial" w:cs="Arial"/>
          <w:sz w:val="20"/>
          <w:szCs w:val="20"/>
        </w:rPr>
      </w:pPr>
      <w:r w:rsidRPr="002A60E3">
        <w:rPr>
          <w:rFonts w:ascii="Arial" w:hAnsi="Arial" w:cs="Arial"/>
          <w:sz w:val="20"/>
          <w:szCs w:val="20"/>
        </w:rPr>
        <w:t>The authors affirm that no material competing interests—financial, professional, or personal—might have impacted how the work described in this publication was performed or presented.</w:t>
      </w:r>
    </w:p>
    <w:p w14:paraId="44394A20" w14:textId="77777777" w:rsidR="00DB0BE1" w:rsidRPr="002A60E3" w:rsidRDefault="00DB0BE1" w:rsidP="00DB0BE1">
      <w:pPr>
        <w:spacing w:line="334" w:lineRule="auto"/>
        <w:contextualSpacing/>
        <w:jc w:val="both"/>
        <w:rPr>
          <w:rFonts w:ascii="Arial" w:hAnsi="Arial" w:cs="Arial"/>
          <w:sz w:val="20"/>
          <w:szCs w:val="20"/>
        </w:rPr>
      </w:pPr>
    </w:p>
    <w:p w14:paraId="64DD837E" w14:textId="77777777" w:rsidR="00DB0BE1" w:rsidRDefault="00DB0BE1" w:rsidP="00DB0BE1">
      <w:pPr>
        <w:spacing w:line="334" w:lineRule="auto"/>
        <w:contextualSpacing/>
        <w:jc w:val="both"/>
        <w:rPr>
          <w:rFonts w:ascii="Arial" w:hAnsi="Arial" w:cs="Arial"/>
          <w:b/>
          <w:bCs/>
          <w:color w:val="363435"/>
          <w:sz w:val="20"/>
          <w:szCs w:val="20"/>
        </w:rPr>
      </w:pPr>
      <w:r w:rsidRPr="002A60E3">
        <w:rPr>
          <w:rFonts w:ascii="Arial" w:hAnsi="Arial" w:cs="Arial"/>
          <w:b/>
          <w:bCs/>
          <w:color w:val="363435"/>
          <w:sz w:val="20"/>
          <w:szCs w:val="20"/>
        </w:rPr>
        <w:t>Funding</w:t>
      </w:r>
    </w:p>
    <w:p w14:paraId="210A58C2" w14:textId="77777777" w:rsidR="00DB0BE1" w:rsidRDefault="00DB0BE1" w:rsidP="00DB0BE1">
      <w:pPr>
        <w:spacing w:line="334" w:lineRule="auto"/>
        <w:contextualSpacing/>
        <w:jc w:val="both"/>
        <w:rPr>
          <w:rFonts w:ascii="Arial" w:hAnsi="Arial" w:cs="Arial"/>
          <w:color w:val="363435"/>
          <w:sz w:val="20"/>
          <w:szCs w:val="20"/>
        </w:rPr>
      </w:pPr>
      <w:r w:rsidRPr="00021A24">
        <w:rPr>
          <w:rFonts w:cs="Calibri"/>
          <w:b/>
          <w:bCs/>
          <w:color w:val="363435"/>
          <w:sz w:val="20"/>
          <w:szCs w:val="20"/>
        </w:rPr>
        <w:t>﻿</w:t>
      </w:r>
      <w:r w:rsidRPr="00021A24">
        <w:rPr>
          <w:rFonts w:ascii="Arial" w:hAnsi="Arial" w:cs="Arial"/>
          <w:color w:val="363435"/>
          <w:sz w:val="20"/>
          <w:szCs w:val="20"/>
        </w:rPr>
        <w:t>This study received no external funding</w:t>
      </w:r>
    </w:p>
    <w:p w14:paraId="24FBD81B" w14:textId="77777777" w:rsidR="00DB0BE1" w:rsidRPr="002A60E3" w:rsidRDefault="00DB0BE1" w:rsidP="00DB0BE1">
      <w:pPr>
        <w:spacing w:line="334" w:lineRule="auto"/>
        <w:contextualSpacing/>
        <w:jc w:val="both"/>
        <w:rPr>
          <w:rFonts w:ascii="Arial" w:hAnsi="Arial" w:cs="Arial"/>
          <w:b/>
          <w:bCs/>
          <w:color w:val="363435"/>
          <w:sz w:val="20"/>
          <w:szCs w:val="20"/>
        </w:rPr>
      </w:pPr>
    </w:p>
    <w:p w14:paraId="6C9E3E2D" w14:textId="77777777" w:rsidR="00DB0BE1" w:rsidRPr="002A60E3" w:rsidRDefault="00DB0BE1" w:rsidP="00DB0BE1">
      <w:pPr>
        <w:spacing w:after="0" w:line="334" w:lineRule="auto"/>
        <w:contextualSpacing/>
        <w:jc w:val="both"/>
        <w:rPr>
          <w:rFonts w:ascii="Arial" w:hAnsi="Arial" w:cs="Arial"/>
          <w:b/>
          <w:bCs/>
          <w:color w:val="363435"/>
          <w:sz w:val="20"/>
          <w:szCs w:val="20"/>
        </w:rPr>
      </w:pPr>
      <w:r w:rsidRPr="002A60E3">
        <w:rPr>
          <w:rFonts w:ascii="Arial" w:hAnsi="Arial" w:cs="Arial"/>
          <w:b/>
          <w:bCs/>
          <w:color w:val="363435"/>
          <w:sz w:val="20"/>
          <w:szCs w:val="20"/>
        </w:rPr>
        <w:t>REFFERENCE</w:t>
      </w:r>
    </w:p>
    <w:p w14:paraId="0DC4314C"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A9725C">
        <w:rPr>
          <w:rFonts w:ascii="Arial" w:hAnsi="Arial" w:cs="Arial"/>
          <w:sz w:val="20"/>
          <w:szCs w:val="20"/>
        </w:rPr>
        <w:fldChar w:fldCharType="begin" w:fldLock="1"/>
      </w:r>
      <w:r w:rsidRPr="00A9725C">
        <w:rPr>
          <w:rFonts w:ascii="Arial" w:hAnsi="Arial" w:cs="Arial"/>
          <w:sz w:val="20"/>
          <w:szCs w:val="20"/>
        </w:rPr>
        <w:instrText xml:space="preserve">ADDIN Mendeley Bibliography CSL_BIBLIOGRAPHY </w:instrText>
      </w:r>
      <w:r w:rsidRPr="00A9725C">
        <w:rPr>
          <w:rFonts w:ascii="Arial" w:hAnsi="Arial" w:cs="Arial"/>
          <w:sz w:val="20"/>
          <w:szCs w:val="20"/>
        </w:rPr>
        <w:fldChar w:fldCharType="separate"/>
      </w:r>
      <w:r w:rsidRPr="00F31B78">
        <w:rPr>
          <w:rFonts w:ascii="Arial" w:hAnsi="Arial" w:cs="Arial"/>
          <w:noProof/>
          <w:sz w:val="20"/>
          <w:lang w:val="en-US"/>
        </w:rPr>
        <w:t xml:space="preserve">1. </w:t>
      </w:r>
      <w:r w:rsidRPr="00F31B78">
        <w:rPr>
          <w:rFonts w:ascii="Arial" w:hAnsi="Arial" w:cs="Arial"/>
          <w:noProof/>
          <w:sz w:val="20"/>
          <w:lang w:val="en-US"/>
        </w:rPr>
        <w:tab/>
        <w:t xml:space="preserve">Long B, Carius BM, Chavez S, Liang SY, Brady WJ, Koyfman A, et al. Clinical update on COVID-19 for the emergency clinician: Presentation and evaluation. Am J Emerg </w:t>
      </w:r>
      <w:r w:rsidRPr="00F31B78">
        <w:rPr>
          <w:rFonts w:ascii="Arial" w:hAnsi="Arial" w:cs="Arial"/>
          <w:noProof/>
          <w:sz w:val="20"/>
          <w:lang w:val="en-US"/>
        </w:rPr>
        <w:t xml:space="preserve">Med. 2022;54:46–57. </w:t>
      </w:r>
    </w:p>
    <w:p w14:paraId="3AA3E848"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2. </w:t>
      </w:r>
      <w:r w:rsidRPr="00F31B78">
        <w:rPr>
          <w:rFonts w:ascii="Arial" w:hAnsi="Arial" w:cs="Arial"/>
          <w:noProof/>
          <w:sz w:val="20"/>
          <w:lang w:val="en-US"/>
        </w:rPr>
        <w:tab/>
        <w:t xml:space="preserve">Djalante R, Lassa J, Setiamarga D, Sudjatma A, Indrawan M. Review and analysis of current responses to COVID-19 in Indonesia: Period of January to March 2020. 2020;(January). </w:t>
      </w:r>
    </w:p>
    <w:p w14:paraId="3D12EA6C"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3. </w:t>
      </w:r>
      <w:r w:rsidRPr="00F31B78">
        <w:rPr>
          <w:rFonts w:ascii="Arial" w:hAnsi="Arial" w:cs="Arial"/>
          <w:noProof/>
          <w:sz w:val="20"/>
          <w:lang w:val="en-US"/>
        </w:rPr>
        <w:tab/>
        <w:t xml:space="preserve">Mistry P, Barmania F, Mellet J, Peta K, Strydom A, Viljoen IM, et al. SARS-CoV-2 Variants, Vaccines, and Host Immunity. Front Immunol. 2022;12:1–21. </w:t>
      </w:r>
    </w:p>
    <w:p w14:paraId="19B80A07"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4. </w:t>
      </w:r>
      <w:r w:rsidRPr="00F31B78">
        <w:rPr>
          <w:rFonts w:ascii="Arial" w:hAnsi="Arial" w:cs="Arial"/>
          <w:noProof/>
          <w:sz w:val="20"/>
          <w:lang w:val="en-US"/>
        </w:rPr>
        <w:tab/>
        <w:t xml:space="preserve">Selvaraj P, Muthu S, Jeyaraman N. Incidence and severity of SARS-CoV-2 virus post COVID-19 vaccination: A cross-sectional study in India. Clin Epidemiol Glob Heal. 2022;(January). </w:t>
      </w:r>
    </w:p>
    <w:p w14:paraId="44656B63"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5. </w:t>
      </w:r>
      <w:r w:rsidRPr="00F31B78">
        <w:rPr>
          <w:rFonts w:ascii="Arial" w:hAnsi="Arial" w:cs="Arial"/>
          <w:noProof/>
          <w:sz w:val="20"/>
          <w:lang w:val="en-US"/>
        </w:rPr>
        <w:tab/>
        <w:t xml:space="preserve">Wu Q, Dudley MZ, Chen X, Bai X, Dong K, Zhuang T, et al. Evaluation of the safety profile of COVID-19 vaccines: a rapid review. BMC Med. 2021;19(1):1–16. </w:t>
      </w:r>
    </w:p>
    <w:p w14:paraId="01D57B54"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6. </w:t>
      </w:r>
      <w:r w:rsidRPr="00F31B78">
        <w:rPr>
          <w:rFonts w:ascii="Arial" w:hAnsi="Arial" w:cs="Arial"/>
          <w:noProof/>
          <w:sz w:val="20"/>
          <w:lang w:val="en-US"/>
        </w:rPr>
        <w:tab/>
        <w:t xml:space="preserve">Sukamto Koesnoe. Teknis Pelaksanaan Vaksin Covid dan Antisipasi KIPI. Perhimpun Dr Spes Penyakit Dalam Indones. 2021;1–65. </w:t>
      </w:r>
    </w:p>
    <w:p w14:paraId="75E8E821"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7. </w:t>
      </w:r>
      <w:r w:rsidRPr="00F31B78">
        <w:rPr>
          <w:rFonts w:ascii="Arial" w:hAnsi="Arial" w:cs="Arial"/>
          <w:noProof/>
          <w:sz w:val="20"/>
          <w:lang w:val="en-US"/>
        </w:rPr>
        <w:tab/>
        <w:t>Mohsin M, Mahmud S, Uddin Mian A, Hasan P, Muyeed A, Taif Ali M, et al. Side effects of COVID-19 vaccines and perceptions about COVID-19 and its vaccines in Bangladesh: A Cross-sectional study. Vaccine X [Internet]. 2022;12:100207. Available from: https://doi.org/10.1016/j.jvacx.2022.100207</w:t>
      </w:r>
    </w:p>
    <w:p w14:paraId="031E370D"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8. </w:t>
      </w:r>
      <w:r w:rsidRPr="00F31B78">
        <w:rPr>
          <w:rFonts w:ascii="Arial" w:hAnsi="Arial" w:cs="Arial"/>
          <w:noProof/>
          <w:sz w:val="20"/>
          <w:lang w:val="en-US"/>
        </w:rPr>
        <w:tab/>
        <w:t>Lai FTT, Leung MTY, Chan EWW, Huang L, Lau LKW, Peng K, et al. Self-reported reactogenicity of CoronaVac (Sinovac) compared with Comirnaty (Pfizer-BioNTech): A prospective cohort study with intensive monitoring. Vaccine [Internet]. 2022;40(10):1390–6. Available from: https://doi.org/10.1016/j.vaccine.2022.01.062</w:t>
      </w:r>
    </w:p>
    <w:p w14:paraId="393297E8"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9. </w:t>
      </w:r>
      <w:r w:rsidRPr="00F31B78">
        <w:rPr>
          <w:rFonts w:ascii="Arial" w:hAnsi="Arial" w:cs="Arial"/>
          <w:noProof/>
          <w:sz w:val="20"/>
          <w:lang w:val="en-US"/>
        </w:rPr>
        <w:tab/>
        <w:t xml:space="preserve">Bostan E, Yel B, Karaduman A. Cutaneous adverse events following 771 doses of the inactivated and mRNA COVID-19 vaccines: A survey study among health care providers. J Cosmet Dermatol. 2022;21(9):3682–8. </w:t>
      </w:r>
    </w:p>
    <w:p w14:paraId="64FA833C"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10. </w:t>
      </w:r>
      <w:r w:rsidRPr="00F31B78">
        <w:rPr>
          <w:rFonts w:ascii="Arial" w:hAnsi="Arial" w:cs="Arial"/>
          <w:noProof/>
          <w:sz w:val="20"/>
          <w:lang w:val="en-US"/>
        </w:rPr>
        <w:tab/>
        <w:t xml:space="preserve">Aryal S, Devbhandari RP, Shrestha S, Shrestha A, Rajbhandari P, Shakya T, et al. Adverse events following Sinopharm (Vero </w:t>
      </w:r>
      <w:r w:rsidRPr="00F31B78">
        <w:rPr>
          <w:rFonts w:ascii="Arial" w:hAnsi="Arial" w:cs="Arial"/>
          <w:noProof/>
          <w:sz w:val="20"/>
          <w:lang w:val="en-US"/>
        </w:rPr>
        <w:lastRenderedPageBreak/>
        <w:t xml:space="preserve">Cell), the inactivated COVID-19. J Patan Acad Heal Sci. 2021;8(2):18–24. </w:t>
      </w:r>
    </w:p>
    <w:p w14:paraId="79899179"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11. </w:t>
      </w:r>
      <w:r w:rsidRPr="00F31B78">
        <w:rPr>
          <w:rFonts w:ascii="Arial" w:hAnsi="Arial" w:cs="Arial"/>
          <w:noProof/>
          <w:sz w:val="20"/>
          <w:lang w:val="en-US"/>
        </w:rPr>
        <w:tab/>
        <w:t xml:space="preserve">Anjorin AA, Odetokun IA, Nyandwi JB, Elnadi H, Awiagah KS, Eyedo J, et al. Public Health Surveillance for Adverse Events Following COVID-19 Vaccination in Africa. MDPI Vaccines. 2022;10:1–18. </w:t>
      </w:r>
    </w:p>
    <w:p w14:paraId="2D9ED8C0"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12. </w:t>
      </w:r>
      <w:r w:rsidRPr="00F31B78">
        <w:rPr>
          <w:rFonts w:ascii="Arial" w:hAnsi="Arial" w:cs="Arial"/>
          <w:noProof/>
          <w:sz w:val="20"/>
          <w:lang w:val="en-US"/>
        </w:rPr>
        <w:tab/>
        <w:t xml:space="preserve">Le XTT, Hoang QL, Ta NTK, Pham QT, Nguyen TT, Phan HTM, et al. Common adverse events following immunization with the COVID-19 comirnaty vaccine (Pfizer-BioNTech) among adult population in Hanoi, Vietnam, 2021. Front Trop Dis. 2022;3(September):1–9. </w:t>
      </w:r>
    </w:p>
    <w:p w14:paraId="41EE1916"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13. </w:t>
      </w:r>
      <w:r w:rsidRPr="00F31B78">
        <w:rPr>
          <w:rFonts w:ascii="Arial" w:hAnsi="Arial" w:cs="Arial"/>
          <w:noProof/>
          <w:sz w:val="20"/>
          <w:lang w:val="en-US"/>
        </w:rPr>
        <w:tab/>
        <w:t xml:space="preserve">Parida SP, Sahu DP, Singh AK, Alekhya G, Subba SH, Mishra A, et al. Adverse events following immunization of COVID-19 (Covaxin) vaccine at a tertiary care center of India. J Med Virol. 2022;94(6):2453–9. </w:t>
      </w:r>
    </w:p>
    <w:p w14:paraId="66454AF0"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14. </w:t>
      </w:r>
      <w:r w:rsidRPr="00F31B78">
        <w:rPr>
          <w:rFonts w:ascii="Arial" w:hAnsi="Arial" w:cs="Arial"/>
          <w:noProof/>
          <w:sz w:val="20"/>
          <w:lang w:val="en-US"/>
        </w:rPr>
        <w:tab/>
        <w:t>Ripabelli G, Tamburro M, Buccieri N, Adesso C, Caggiano V, Cannizzaro F, et al. Active Surveillance of Adverse Events in Healthcare Workers Recipients After Vaccination with COVID-19 BNT162b2 Vaccine (Pfizer-BioNTech, Comirnaty): A Cross-Sectional Study. J Community Health [Internet]. 2022;47(2):211–25. Available from: https://doi.org/10.1007/s10900-021-01039-3</w:t>
      </w:r>
    </w:p>
    <w:p w14:paraId="0B58D340"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15. </w:t>
      </w:r>
      <w:r w:rsidRPr="00F31B78">
        <w:rPr>
          <w:rFonts w:ascii="Arial" w:hAnsi="Arial" w:cs="Arial"/>
          <w:noProof/>
          <w:sz w:val="20"/>
          <w:lang w:val="en-US"/>
        </w:rPr>
        <w:tab/>
        <w:t xml:space="preserve">Chakraborty A, Reval N, Kamath L. Adverse Events Following COVID-19 Vaccination in Selected Apartments in Bangalore, India. Cureus. 2022;14(2):1–9. </w:t>
      </w:r>
    </w:p>
    <w:p w14:paraId="69ACED9A"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16. </w:t>
      </w:r>
      <w:r w:rsidRPr="00F31B78">
        <w:rPr>
          <w:rFonts w:ascii="Arial" w:hAnsi="Arial" w:cs="Arial"/>
          <w:noProof/>
          <w:sz w:val="20"/>
          <w:lang w:val="en-US"/>
        </w:rPr>
        <w:tab/>
        <w:t xml:space="preserve">Hidayat R, Mustika AP, Avisha F, Djuliannisaa Z, Winari DD, Putri RA, et al. Surveillance of Adverse Events Following Immunization ( AEFI ) after Third Dose Booster Vaccination with mRNA-Based Vaccine in Universitas Indonesia Hospital Health Personnel. MDPI Vaccines. 2022;10:1–10. </w:t>
      </w:r>
    </w:p>
    <w:p w14:paraId="2A24255B"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17. </w:t>
      </w:r>
      <w:r w:rsidRPr="00F31B78">
        <w:rPr>
          <w:rFonts w:ascii="Arial" w:hAnsi="Arial" w:cs="Arial"/>
          <w:noProof/>
          <w:sz w:val="20"/>
          <w:lang w:val="en-US"/>
        </w:rPr>
        <w:tab/>
        <w:t xml:space="preserve">Iguacel I, Maldonado AL, Ruiz-Cabello AL, Casaus M, Moreno LA, Martínez-Jarreta B. Association between covid-19 vaccine side effects and body mass index in Spain. Vaccines. 2021;9(11):1–12. </w:t>
      </w:r>
    </w:p>
    <w:p w14:paraId="47B9E9ED"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18. </w:t>
      </w:r>
      <w:r w:rsidRPr="00F31B78">
        <w:rPr>
          <w:rFonts w:ascii="Arial" w:hAnsi="Arial" w:cs="Arial"/>
          <w:noProof/>
          <w:sz w:val="20"/>
          <w:lang w:val="en-US"/>
        </w:rPr>
        <w:tab/>
        <w:t xml:space="preserve">Juliane Z, Adisasmita AC, Yuniadi Y. Risk Factors for Mortality of Patients with COVID-19 in RSJPD Harapan Kita, Jakarta Zhara. J Respir Indo. 2022;42. </w:t>
      </w:r>
    </w:p>
    <w:p w14:paraId="42500915"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19. </w:t>
      </w:r>
      <w:r w:rsidRPr="00F31B78">
        <w:rPr>
          <w:rFonts w:ascii="Arial" w:hAnsi="Arial" w:cs="Arial"/>
          <w:noProof/>
          <w:sz w:val="20"/>
          <w:lang w:val="en-US"/>
        </w:rPr>
        <w:tab/>
        <w:t xml:space="preserve">Ossato A, Tessari R, Trabucchi C, Zuppini T, Realdon N, Marchesini F. Comparison of medium-term adverse reactions induced by the first and second dose of mRNA BNT162b2 (Comirnaty, Pfizer-BioNTech) vaccine: A post-marketing Italian study conducted between 1 January and 28 February 2021. Eur J Hosp Pharm. 2021;1–6. </w:t>
      </w:r>
    </w:p>
    <w:p w14:paraId="13793842"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lang w:val="en-US"/>
        </w:rPr>
      </w:pPr>
      <w:r w:rsidRPr="00F31B78">
        <w:rPr>
          <w:rFonts w:ascii="Arial" w:hAnsi="Arial" w:cs="Arial"/>
          <w:noProof/>
          <w:sz w:val="20"/>
          <w:lang w:val="en-US"/>
        </w:rPr>
        <w:t xml:space="preserve">20. </w:t>
      </w:r>
      <w:r w:rsidRPr="00F31B78">
        <w:rPr>
          <w:rFonts w:ascii="Arial" w:hAnsi="Arial" w:cs="Arial"/>
          <w:noProof/>
          <w:sz w:val="20"/>
          <w:lang w:val="en-US"/>
        </w:rPr>
        <w:tab/>
        <w:t xml:space="preserve">Riad A, Pokorná A, Attia S, Klugarová J, Koščík M, Klugar M. Prevalence of covid-19 vaccine side effects among healthcare workers in the Czech Republic. J Clin Med. 2021;10(7). </w:t>
      </w:r>
    </w:p>
    <w:p w14:paraId="2C6FF659" w14:textId="77777777" w:rsidR="00DB0BE1" w:rsidRPr="00F31B78" w:rsidRDefault="00DB0BE1" w:rsidP="00DB0BE1">
      <w:pPr>
        <w:widowControl w:val="0"/>
        <w:autoSpaceDE w:val="0"/>
        <w:autoSpaceDN w:val="0"/>
        <w:adjustRightInd w:val="0"/>
        <w:spacing w:after="0" w:line="334" w:lineRule="auto"/>
        <w:ind w:left="641" w:hanging="641"/>
        <w:contextualSpacing/>
        <w:jc w:val="both"/>
        <w:rPr>
          <w:rFonts w:ascii="Arial" w:hAnsi="Arial" w:cs="Arial"/>
          <w:noProof/>
          <w:sz w:val="20"/>
        </w:rPr>
      </w:pPr>
      <w:r w:rsidRPr="00F31B78">
        <w:rPr>
          <w:rFonts w:ascii="Arial" w:hAnsi="Arial" w:cs="Arial"/>
          <w:noProof/>
          <w:sz w:val="20"/>
          <w:lang w:val="en-US"/>
        </w:rPr>
        <w:t xml:space="preserve">21. </w:t>
      </w:r>
      <w:r w:rsidRPr="00F31B78">
        <w:rPr>
          <w:rFonts w:ascii="Arial" w:hAnsi="Arial" w:cs="Arial"/>
          <w:noProof/>
          <w:sz w:val="20"/>
          <w:lang w:val="en-US"/>
        </w:rPr>
        <w:tab/>
        <w:t>Maruyama A, Sawa T, Teramukai S, Katoh N. Adverse reactions to the first and second doses of Pfizer-BioNTech COVID-19 vaccine among healthcare workers. J Infect Chemother [Internet]. 2022;28(7):934–42. Available from: https://doi.org/10.1016/j.jiac.2022.03.015</w:t>
      </w:r>
    </w:p>
    <w:p w14:paraId="7C3990D0" w14:textId="5E4A7AEA" w:rsidR="00DB0BE1" w:rsidRDefault="00DB0BE1" w:rsidP="00DB0BE1">
      <w:pPr>
        <w:spacing w:after="0" w:line="334" w:lineRule="auto"/>
        <w:ind w:firstLine="720"/>
        <w:contextualSpacing/>
        <w:jc w:val="both"/>
        <w:rPr>
          <w:rFonts w:ascii="Arial" w:hAnsi="Arial" w:cs="Arial"/>
          <w:sz w:val="20"/>
          <w:szCs w:val="20"/>
        </w:rPr>
      </w:pPr>
      <w:r w:rsidRPr="00A9725C">
        <w:rPr>
          <w:rFonts w:ascii="Arial" w:hAnsi="Arial" w:cs="Arial"/>
          <w:sz w:val="20"/>
          <w:szCs w:val="20"/>
        </w:rPr>
        <w:fldChar w:fldCharType="end"/>
      </w:r>
    </w:p>
    <w:p w14:paraId="5BADF808" w14:textId="51A5C2EC" w:rsidR="0061428F" w:rsidRPr="00D43ECF" w:rsidRDefault="0061428F" w:rsidP="00DB0BE1">
      <w:pPr>
        <w:spacing w:after="0" w:line="334" w:lineRule="auto"/>
        <w:contextualSpacing/>
        <w:jc w:val="both"/>
        <w:rPr>
          <w:rFonts w:ascii="Arial" w:eastAsia="Times New Roman" w:hAnsi="Arial" w:cs="Arial"/>
          <w:sz w:val="20"/>
          <w:szCs w:val="20"/>
          <w:lang w:eastAsia="en-US"/>
        </w:rPr>
      </w:pPr>
    </w:p>
    <w:p w14:paraId="18E20366" w14:textId="16903E04" w:rsidR="009D3C9E" w:rsidRPr="00D43ECF" w:rsidRDefault="009D3C9E" w:rsidP="00452EAB">
      <w:pPr>
        <w:pStyle w:val="NormalWeb"/>
        <w:spacing w:before="28" w:beforeAutospacing="0" w:afterLines="28" w:after="67" w:afterAutospacing="0" w:line="334" w:lineRule="auto"/>
        <w:ind w:firstLine="720"/>
        <w:contextualSpacing/>
        <w:jc w:val="both"/>
        <w:rPr>
          <w:rFonts w:ascii="Arial" w:hAnsi="Arial" w:cs="Arial"/>
          <w:sz w:val="20"/>
          <w:szCs w:val="20"/>
          <w:lang w:val="nb-NO"/>
        </w:rPr>
      </w:pPr>
    </w:p>
    <w:sectPr w:rsidR="009D3C9E" w:rsidRPr="00D43ECF" w:rsidSect="00D43ECF">
      <w:type w:val="continuous"/>
      <w:pgSz w:w="11906" w:h="16838" w:code="9"/>
      <w:pgMar w:top="1418" w:right="907" w:bottom="868" w:left="964"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66C3" w14:textId="77777777" w:rsidR="00810C81" w:rsidRDefault="00810C81" w:rsidP="00063037">
      <w:pPr>
        <w:spacing w:after="0" w:line="240" w:lineRule="auto"/>
      </w:pPr>
      <w:r>
        <w:separator/>
      </w:r>
    </w:p>
  </w:endnote>
  <w:endnote w:type="continuationSeparator" w:id="0">
    <w:p w14:paraId="089032DF" w14:textId="77777777" w:rsidR="00810C81" w:rsidRDefault="00810C81" w:rsidP="0006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Antiqua">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69096475"/>
      <w:docPartObj>
        <w:docPartGallery w:val="Page Numbers (Bottom of Page)"/>
        <w:docPartUnique/>
      </w:docPartObj>
    </w:sdtPr>
    <w:sdtEndPr>
      <w:rPr>
        <w:noProof/>
      </w:rPr>
    </w:sdtEndPr>
    <w:sdtContent>
      <w:p w14:paraId="1FBB273A" w14:textId="77777777" w:rsidR="00CA3C5D" w:rsidRDefault="00CA3C5D" w:rsidP="00CA3C5D">
        <w:pPr>
          <w:pStyle w:val="Footer"/>
          <w:tabs>
            <w:tab w:val="clear" w:pos="4513"/>
            <w:tab w:val="clear" w:pos="9026"/>
          </w:tabs>
          <w:rPr>
            <w:rFonts w:ascii="Arial" w:hAnsi="Arial" w:cs="Arial"/>
            <w:sz w:val="16"/>
            <w:szCs w:val="16"/>
          </w:rPr>
        </w:pPr>
      </w:p>
      <w:p w14:paraId="52A65CCA" w14:textId="6526E20E" w:rsidR="009D3C9E"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Pr>
            <w:rFonts w:ascii="Arial" w:hAnsi="Arial" w:cs="Arial"/>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859803"/>
      <w:docPartObj>
        <w:docPartGallery w:val="Page Numbers (Bottom of Page)"/>
        <w:docPartUnique/>
      </w:docPartObj>
    </w:sdtPr>
    <w:sdtEndPr>
      <w:rPr>
        <w:rFonts w:ascii="Arial" w:hAnsi="Arial" w:cs="Arial"/>
        <w:noProof/>
        <w:sz w:val="16"/>
      </w:rPr>
    </w:sdtEndPr>
    <w:sdtContent>
      <w:p w14:paraId="256FE375" w14:textId="77777777" w:rsidR="00CA3C5D" w:rsidRPr="00CA3C5D" w:rsidRDefault="00CA3C5D" w:rsidP="00CA3C5D">
        <w:pPr>
          <w:pStyle w:val="Footer"/>
          <w:tabs>
            <w:tab w:val="clear" w:pos="4513"/>
            <w:tab w:val="clear" w:pos="9026"/>
            <w:tab w:val="right" w:pos="9810"/>
          </w:tabs>
          <w:rPr>
            <w:rFonts w:ascii="Arial" w:hAnsi="Arial" w:cs="Arial"/>
            <w:sz w:val="16"/>
            <w:szCs w:val="16"/>
          </w:rPr>
        </w:pPr>
      </w:p>
      <w:p w14:paraId="2C8D6CEB" w14:textId="3A568D1A" w:rsidR="009D3C9E" w:rsidRPr="00CA3C5D" w:rsidRDefault="00CA3C5D"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r>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Pr>
            <w:rFonts w:ascii="Arial" w:hAnsi="Arial" w:cs="Arial"/>
            <w:sz w:val="16"/>
          </w:rPr>
          <w:t>1</w:t>
        </w:r>
        <w:r w:rsidRPr="00063037">
          <w:rPr>
            <w:rFonts w:ascii="Arial" w:hAnsi="Arial" w:cs="Arial"/>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18140"/>
      <w:docPartObj>
        <w:docPartGallery w:val="Page Numbers (Bottom of Page)"/>
        <w:docPartUnique/>
      </w:docPartObj>
    </w:sdtPr>
    <w:sdtEndPr>
      <w:rPr>
        <w:rFonts w:ascii="Arial" w:hAnsi="Arial" w:cs="Arial"/>
        <w:noProof/>
        <w:sz w:val="16"/>
      </w:rPr>
    </w:sdtEndPr>
    <w:sdtContent>
      <w:p w14:paraId="3ADB493E" w14:textId="3498D427" w:rsidR="001A3AE6" w:rsidRDefault="001A3AE6" w:rsidP="001A3AE6">
        <w:pPr>
          <w:widowControl w:val="0"/>
          <w:autoSpaceDE w:val="0"/>
          <w:autoSpaceDN w:val="0"/>
          <w:adjustRightInd w:val="0"/>
          <w:spacing w:line="200" w:lineRule="exact"/>
          <w:ind w:right="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55E9BE4" wp14:editId="1EA8BD55">
                  <wp:simplePos x="0" y="0"/>
                  <wp:positionH relativeFrom="column">
                    <wp:posOffset>462280</wp:posOffset>
                  </wp:positionH>
                  <wp:positionV relativeFrom="paragraph">
                    <wp:posOffset>45720</wp:posOffset>
                  </wp:positionV>
                  <wp:extent cx="91440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51460"/>
                          </a:xfrm>
                          <a:prstGeom prst="rect">
                            <a:avLst/>
                          </a:prstGeom>
                          <a:noFill/>
                          <a:ln w="6350">
                            <a:noFill/>
                          </a:ln>
                        </wps:spPr>
                        <wps:txb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5E9BE4" id="_x0000_t202" coordsize="21600,21600" o:spt="202" path="m,l,21600r21600,l21600,xe">
                  <v:stroke joinstyle="miter"/>
                  <v:path gradientshapeok="t" o:connecttype="rect"/>
                </v:shapetype>
                <v:shape id="Text Box 9" o:spid="_x0000_s1027" type="#_x0000_t202" style="position:absolute;margin-left:36.4pt;margin-top:3.6pt;width:1in;height:19.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" filled="f" stroked="f" strokeweight=".5pt">
                  <v:textbo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v:textbox>
                </v:shape>
              </w:pict>
            </mc:Fallback>
          </mc:AlternateContent>
        </w:r>
        <w:r>
          <w:rPr>
            <w:rFonts w:ascii="Verdana" w:hAnsi="Verdana"/>
            <w:noProof/>
            <w:color w:val="2D3092"/>
            <w:sz w:val="17"/>
            <w:szCs w:val="17"/>
            <w:shd w:val="clear" w:color="auto" w:fill="FFFFFF"/>
          </w:rPr>
          <w:drawing>
            <wp:anchor distT="0" distB="0" distL="114300" distR="114300" simplePos="0" relativeHeight="251658240" behindDoc="0" locked="0" layoutInCell="1" allowOverlap="1" wp14:anchorId="77F2C29B" wp14:editId="32155F1E">
              <wp:simplePos x="0" y="0"/>
              <wp:positionH relativeFrom="column">
                <wp:posOffset>-2540</wp:posOffset>
              </wp:positionH>
              <wp:positionV relativeFrom="paragraph">
                <wp:posOffset>53340</wp:posOffset>
              </wp:positionV>
              <wp:extent cx="544830" cy="193167"/>
              <wp:effectExtent l="0" t="0" r="7620" b="0"/>
              <wp:wrapNone/>
              <wp:docPr id="2"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301" cy="1990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8F9FB" w14:textId="77777777" w:rsidR="001A3AE6" w:rsidRDefault="001A3AE6" w:rsidP="00CA3C5D">
        <w:pPr>
          <w:pStyle w:val="Footer"/>
          <w:tabs>
            <w:tab w:val="clear" w:pos="4513"/>
            <w:tab w:val="clear" w:pos="9026"/>
            <w:tab w:val="right" w:pos="9810"/>
          </w:tabs>
          <w:rPr>
            <w:rFonts w:ascii="Arial" w:hAnsi="Arial" w:cs="Arial"/>
            <w:i/>
            <w:iCs/>
            <w:color w:val="363435"/>
            <w:sz w:val="16"/>
            <w:szCs w:val="16"/>
          </w:rPr>
        </w:pPr>
      </w:p>
      <w:p w14:paraId="5439C5A1" w14:textId="17DE8A36" w:rsidR="009D3C9E" w:rsidRPr="00063037" w:rsidRDefault="009D3C9E"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r w:rsidR="00CA3C5D">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2</w:t>
        </w:r>
        <w:r w:rsidRPr="00063037">
          <w:rPr>
            <w:rFonts w:ascii="Arial" w:hAnsi="Arial" w:cs="Arial"/>
            <w:noProof/>
            <w:sz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50115249"/>
      <w:docPartObj>
        <w:docPartGallery w:val="Page Numbers (Bottom of Page)"/>
        <w:docPartUnique/>
      </w:docPartObj>
    </w:sdtPr>
    <w:sdtEndPr>
      <w:rPr>
        <w:noProof/>
      </w:rPr>
    </w:sdtEndPr>
    <w:sdtContent>
      <w:p w14:paraId="51847FC9" w14:textId="77777777" w:rsidR="00CA3C5D" w:rsidRDefault="00CA3C5D" w:rsidP="00CA3C5D">
        <w:pPr>
          <w:pStyle w:val="Footer"/>
          <w:tabs>
            <w:tab w:val="clear" w:pos="4513"/>
            <w:tab w:val="clear" w:pos="9026"/>
          </w:tabs>
          <w:rPr>
            <w:rFonts w:ascii="Arial" w:hAnsi="Arial" w:cs="Arial"/>
            <w:sz w:val="16"/>
            <w:szCs w:val="16"/>
          </w:rPr>
        </w:pPr>
      </w:p>
      <w:p w14:paraId="7A5B3EE7" w14:textId="413CB8A6" w:rsidR="00CA3C5D"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sidRPr="00CA3C5D">
          <w:rPr>
            <w:rFonts w:ascii="Arial" w:hAnsi="Arial" w:cs="Arial"/>
            <w:noProof/>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F5C6" w14:textId="77777777" w:rsidR="00810C81" w:rsidRDefault="00810C81" w:rsidP="00063037">
      <w:pPr>
        <w:spacing w:after="0" w:line="240" w:lineRule="auto"/>
      </w:pPr>
      <w:r>
        <w:separator/>
      </w:r>
    </w:p>
  </w:footnote>
  <w:footnote w:type="continuationSeparator" w:id="0">
    <w:p w14:paraId="5E49B161" w14:textId="77777777" w:rsidR="00810C81" w:rsidRDefault="00810C81" w:rsidP="0006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6191" w14:textId="5755FE3C" w:rsidR="009D3C9E" w:rsidRPr="003C397B" w:rsidRDefault="0061428F" w:rsidP="003C397B">
    <w:pPr>
      <w:pStyle w:val="NormalWeb"/>
    </w:pPr>
    <w:proofErr w:type="spellStart"/>
    <w:r>
      <w:rPr>
        <w:rFonts w:ascii="Arial" w:hAnsi="Arial" w:cs="Arial"/>
        <w:b/>
        <w:bCs/>
        <w:color w:val="363435"/>
        <w:sz w:val="16"/>
        <w:szCs w:val="16"/>
      </w:rPr>
      <w:t>Vriona</w:t>
    </w:r>
    <w:proofErr w:type="spellEnd"/>
    <w:r>
      <w:rPr>
        <w:rFonts w:ascii="Arial" w:hAnsi="Arial" w:cs="Arial"/>
        <w:b/>
        <w:bCs/>
        <w:color w:val="363435"/>
        <w:sz w:val="16"/>
        <w:szCs w:val="16"/>
      </w:rPr>
      <w:t xml:space="preserve"> Ade </w:t>
    </w:r>
    <w:proofErr w:type="spellStart"/>
    <w:r>
      <w:rPr>
        <w:rFonts w:ascii="Arial" w:hAnsi="Arial" w:cs="Arial"/>
        <w:b/>
        <w:bCs/>
        <w:color w:val="363435"/>
        <w:sz w:val="16"/>
        <w:szCs w:val="16"/>
      </w:rPr>
      <w:t>Maenkar</w:t>
    </w:r>
    <w:proofErr w:type="spellEnd"/>
    <w:r w:rsidR="009D3C9E">
      <w:rPr>
        <w:rFonts w:ascii="Arial" w:hAnsi="Arial" w:cs="Arial"/>
        <w:b/>
        <w:bCs/>
        <w:color w:val="363435"/>
        <w:sz w:val="16"/>
        <w:szCs w:val="16"/>
      </w:rPr>
      <w:t>:</w:t>
    </w:r>
    <w:r w:rsidR="009D3C9E" w:rsidRPr="003C397B">
      <w:rPr>
        <w:rFonts w:ascii="Arial" w:hAnsi="Arial" w:cs="Arial"/>
        <w:b/>
        <w:bCs/>
        <w:color w:val="363435"/>
        <w:sz w:val="16"/>
        <w:szCs w:val="16"/>
      </w:rPr>
      <w:t xml:space="preserve"> </w:t>
    </w:r>
    <w:r w:rsidR="003C397B" w:rsidRPr="003C397B">
      <w:rPr>
        <w:rFonts w:ascii="Arial" w:hAnsi="Arial" w:cs="Arial"/>
        <w:sz w:val="16"/>
        <w:szCs w:val="16"/>
      </w:rPr>
      <w:t xml:space="preserve">Adverse events Following COVID-19 Vaccination </w:t>
    </w:r>
    <w:r w:rsidRPr="003C397B">
      <w:rPr>
        <w:rFonts w:ascii="Arial" w:hAnsi="Arial" w:cs="Arial"/>
        <w:color w:val="363435"/>
        <w:sz w:val="16"/>
        <w:szCs w:val="16"/>
      </w:rPr>
      <w:t xml:space="preserve">: </w:t>
    </w:r>
    <w:r w:rsidR="003C397B" w:rsidRPr="003C397B">
      <w:rPr>
        <w:rFonts w:ascii="Arial" w:hAnsi="Arial" w:cs="Arial"/>
        <w:color w:val="363435"/>
        <w:sz w:val="16"/>
        <w:szCs w:val="16"/>
      </w:rPr>
      <w:t>A cross-sectional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8192" w14:textId="3BCB4E9D" w:rsidR="009D3C9E" w:rsidRDefault="003C397B" w:rsidP="003C397B">
    <w:pPr>
      <w:pStyle w:val="NormalWeb"/>
    </w:pPr>
    <w:proofErr w:type="spellStart"/>
    <w:r>
      <w:rPr>
        <w:rFonts w:ascii="Arial" w:hAnsi="Arial" w:cs="Arial"/>
        <w:b/>
        <w:bCs/>
        <w:color w:val="363435"/>
        <w:sz w:val="16"/>
        <w:szCs w:val="16"/>
      </w:rPr>
      <w:t>Vriona</w:t>
    </w:r>
    <w:proofErr w:type="spellEnd"/>
    <w:r>
      <w:rPr>
        <w:rFonts w:ascii="Arial" w:hAnsi="Arial" w:cs="Arial"/>
        <w:b/>
        <w:bCs/>
        <w:color w:val="363435"/>
        <w:sz w:val="16"/>
        <w:szCs w:val="16"/>
      </w:rPr>
      <w:t xml:space="preserve"> Ade </w:t>
    </w:r>
    <w:proofErr w:type="spellStart"/>
    <w:r>
      <w:rPr>
        <w:rFonts w:ascii="Arial" w:hAnsi="Arial" w:cs="Arial"/>
        <w:b/>
        <w:bCs/>
        <w:color w:val="363435"/>
        <w:sz w:val="16"/>
        <w:szCs w:val="16"/>
      </w:rPr>
      <w:t>Maenkar</w:t>
    </w:r>
    <w:proofErr w:type="spellEnd"/>
    <w:r>
      <w:rPr>
        <w:rFonts w:ascii="Arial" w:hAnsi="Arial" w:cs="Arial"/>
        <w:b/>
        <w:bCs/>
        <w:color w:val="363435"/>
        <w:sz w:val="16"/>
        <w:szCs w:val="16"/>
      </w:rPr>
      <w:t>:</w:t>
    </w:r>
    <w:r w:rsidRPr="003C397B">
      <w:rPr>
        <w:rFonts w:ascii="Arial" w:hAnsi="Arial" w:cs="Arial"/>
        <w:b/>
        <w:bCs/>
        <w:color w:val="363435"/>
        <w:sz w:val="16"/>
        <w:szCs w:val="16"/>
      </w:rPr>
      <w:t xml:space="preserve"> </w:t>
    </w:r>
    <w:r w:rsidRPr="003C397B">
      <w:rPr>
        <w:rFonts w:ascii="Arial" w:hAnsi="Arial" w:cs="Arial"/>
        <w:sz w:val="16"/>
        <w:szCs w:val="16"/>
      </w:rPr>
      <w:t xml:space="preserve">Adverse events Following COVID-19 Vaccination </w:t>
    </w:r>
    <w:r w:rsidRPr="003C397B">
      <w:rPr>
        <w:rFonts w:ascii="Arial" w:hAnsi="Arial" w:cs="Arial"/>
        <w:color w:val="363435"/>
        <w:sz w:val="16"/>
        <w:szCs w:val="16"/>
      </w:rPr>
      <w:t>: A cross-sectional study.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1395" w14:textId="18DBD812" w:rsidR="00CA3C5D" w:rsidRPr="003C397B" w:rsidRDefault="003C397B" w:rsidP="003C397B">
    <w:pPr>
      <w:pStyle w:val="NormalWeb"/>
    </w:pPr>
    <w:proofErr w:type="spellStart"/>
    <w:r>
      <w:rPr>
        <w:rFonts w:ascii="Arial" w:hAnsi="Arial" w:cs="Arial"/>
        <w:b/>
        <w:bCs/>
        <w:color w:val="363435"/>
        <w:sz w:val="16"/>
        <w:szCs w:val="16"/>
      </w:rPr>
      <w:t>Vriona</w:t>
    </w:r>
    <w:proofErr w:type="spellEnd"/>
    <w:r>
      <w:rPr>
        <w:rFonts w:ascii="Arial" w:hAnsi="Arial" w:cs="Arial"/>
        <w:b/>
        <w:bCs/>
        <w:color w:val="363435"/>
        <w:sz w:val="16"/>
        <w:szCs w:val="16"/>
      </w:rPr>
      <w:t xml:space="preserve"> Ade </w:t>
    </w:r>
    <w:proofErr w:type="spellStart"/>
    <w:r>
      <w:rPr>
        <w:rFonts w:ascii="Arial" w:hAnsi="Arial" w:cs="Arial"/>
        <w:b/>
        <w:bCs/>
        <w:color w:val="363435"/>
        <w:sz w:val="16"/>
        <w:szCs w:val="16"/>
      </w:rPr>
      <w:t>Maenkar</w:t>
    </w:r>
    <w:proofErr w:type="spellEnd"/>
    <w:r>
      <w:rPr>
        <w:rFonts w:ascii="Arial" w:hAnsi="Arial" w:cs="Arial"/>
        <w:b/>
        <w:bCs/>
        <w:color w:val="363435"/>
        <w:sz w:val="16"/>
        <w:szCs w:val="16"/>
      </w:rPr>
      <w:t>:</w:t>
    </w:r>
    <w:r w:rsidRPr="003C397B">
      <w:rPr>
        <w:rFonts w:ascii="Arial" w:hAnsi="Arial" w:cs="Arial"/>
        <w:b/>
        <w:bCs/>
        <w:color w:val="363435"/>
        <w:sz w:val="16"/>
        <w:szCs w:val="16"/>
      </w:rPr>
      <w:t xml:space="preserve"> </w:t>
    </w:r>
    <w:r w:rsidRPr="003C397B">
      <w:rPr>
        <w:rFonts w:ascii="Arial" w:hAnsi="Arial" w:cs="Arial"/>
        <w:sz w:val="16"/>
        <w:szCs w:val="16"/>
      </w:rPr>
      <w:t xml:space="preserve">Adverse events Following COVID-19 Vaccination </w:t>
    </w:r>
    <w:r w:rsidRPr="003C397B">
      <w:rPr>
        <w:rFonts w:ascii="Arial" w:hAnsi="Arial" w:cs="Arial"/>
        <w:color w:val="363435"/>
        <w:sz w:val="16"/>
        <w:szCs w:val="16"/>
      </w:rPr>
      <w:t>: A cross-sectional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4B"/>
    <w:multiLevelType w:val="hybridMultilevel"/>
    <w:tmpl w:val="2FA89D14"/>
    <w:lvl w:ilvl="0" w:tplc="92D8CE94">
      <w:start w:val="1"/>
      <w:numFmt w:val="lowerLetter"/>
      <w:lvlText w:val="%1."/>
      <w:lvlJc w:val="left"/>
      <w:pPr>
        <w:ind w:left="1077" w:hanging="360"/>
      </w:pPr>
      <w:rPr>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3333760">
    <w:abstractNumId w:val="1"/>
  </w:num>
  <w:num w:numId="2" w16cid:durableId="1702392337">
    <w:abstractNumId w:val="0"/>
  </w:num>
  <w:num w:numId="3" w16cid:durableId="77672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jE1MTQztTQ3NDdW0lEKTi0uzszPAykwqgUAwfeLfywAAAA="/>
  </w:docVars>
  <w:rsids>
    <w:rsidRoot w:val="00063037"/>
    <w:rsid w:val="000164A8"/>
    <w:rsid w:val="00021A24"/>
    <w:rsid w:val="00063037"/>
    <w:rsid w:val="00080C55"/>
    <w:rsid w:val="000C6EE2"/>
    <w:rsid w:val="000F6146"/>
    <w:rsid w:val="0019350A"/>
    <w:rsid w:val="001A3AE6"/>
    <w:rsid w:val="002A60E3"/>
    <w:rsid w:val="002E16B0"/>
    <w:rsid w:val="003754C0"/>
    <w:rsid w:val="003C397B"/>
    <w:rsid w:val="003D7ED6"/>
    <w:rsid w:val="00416F1E"/>
    <w:rsid w:val="00452EAB"/>
    <w:rsid w:val="00466D11"/>
    <w:rsid w:val="00500B0F"/>
    <w:rsid w:val="00556E5C"/>
    <w:rsid w:val="005D1333"/>
    <w:rsid w:val="005F5317"/>
    <w:rsid w:val="005F72EA"/>
    <w:rsid w:val="0061428F"/>
    <w:rsid w:val="0067787F"/>
    <w:rsid w:val="006C2554"/>
    <w:rsid w:val="006C25CD"/>
    <w:rsid w:val="006D65A1"/>
    <w:rsid w:val="007666EC"/>
    <w:rsid w:val="007674B1"/>
    <w:rsid w:val="007D36F2"/>
    <w:rsid w:val="007E17ED"/>
    <w:rsid w:val="008048EE"/>
    <w:rsid w:val="00810C81"/>
    <w:rsid w:val="008556D6"/>
    <w:rsid w:val="00867B20"/>
    <w:rsid w:val="008A1117"/>
    <w:rsid w:val="008B059D"/>
    <w:rsid w:val="00904932"/>
    <w:rsid w:val="00944959"/>
    <w:rsid w:val="00951857"/>
    <w:rsid w:val="009A0AC3"/>
    <w:rsid w:val="009D3671"/>
    <w:rsid w:val="009D3C9E"/>
    <w:rsid w:val="00A003D3"/>
    <w:rsid w:val="00A80A3E"/>
    <w:rsid w:val="00A94E64"/>
    <w:rsid w:val="00A9725C"/>
    <w:rsid w:val="00AD3CB1"/>
    <w:rsid w:val="00B3655F"/>
    <w:rsid w:val="00BB0299"/>
    <w:rsid w:val="00BB5989"/>
    <w:rsid w:val="00C3615D"/>
    <w:rsid w:val="00C93018"/>
    <w:rsid w:val="00C95E2F"/>
    <w:rsid w:val="00CA3C5D"/>
    <w:rsid w:val="00CA57D4"/>
    <w:rsid w:val="00D43ECF"/>
    <w:rsid w:val="00D500D3"/>
    <w:rsid w:val="00D56510"/>
    <w:rsid w:val="00DA7975"/>
    <w:rsid w:val="00DB0BE1"/>
    <w:rsid w:val="00E20BB8"/>
    <w:rsid w:val="00E344E0"/>
    <w:rsid w:val="00E429CC"/>
    <w:rsid w:val="00E86508"/>
    <w:rsid w:val="00EB5824"/>
    <w:rsid w:val="00EB6FAF"/>
    <w:rsid w:val="00EC49FC"/>
    <w:rsid w:val="00ED7750"/>
    <w:rsid w:val="00F105D1"/>
    <w:rsid w:val="00F12F46"/>
    <w:rsid w:val="00F31B78"/>
    <w:rsid w:val="00F46990"/>
    <w:rsid w:val="00F7354B"/>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B1F1"/>
  <w15:chartTrackingRefBased/>
  <w15:docId w15:val="{E4D47198-661A-460D-9ED1-A1C6E3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7"/>
    <w:rPr>
      <w:rFonts w:ascii="Calibri" w:eastAsia="Malgun Gothic" w:hAnsi="Calibri" w:cs="Times New Roman"/>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37"/>
    <w:rPr>
      <w:rFonts w:ascii="Calibri" w:eastAsia="Malgun Gothic" w:hAnsi="Calibri" w:cs="Times New Roman"/>
      <w:lang w:val="en-ID" w:eastAsia="ko-KR"/>
    </w:rPr>
  </w:style>
  <w:style w:type="paragraph" w:styleId="Footer">
    <w:name w:val="footer"/>
    <w:basedOn w:val="Normal"/>
    <w:link w:val="FooterChar"/>
    <w:uiPriority w:val="99"/>
    <w:unhideWhenUsed/>
    <w:rsid w:val="000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37"/>
    <w:rPr>
      <w:rFonts w:ascii="Calibri" w:eastAsia="Malgun Gothic" w:hAnsi="Calibri" w:cs="Times New Roman"/>
      <w:lang w:val="en-ID" w:eastAsia="ko-KR"/>
    </w:rPr>
  </w:style>
  <w:style w:type="table" w:styleId="TableGrid">
    <w:name w:val="Table Grid"/>
    <w:basedOn w:val="TableNormal"/>
    <w:uiPriority w:val="39"/>
    <w:rsid w:val="00C9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C9E"/>
    <w:pPr>
      <w:spacing w:after="0" w:line="360" w:lineRule="auto"/>
      <w:ind w:left="720" w:firstLine="357"/>
      <w:contextualSpacing/>
      <w:jc w:val="both"/>
    </w:pPr>
    <w:rPr>
      <w:rFonts w:eastAsia="Calibri"/>
      <w:lang w:val="id-ID" w:eastAsia="en-US"/>
    </w:rPr>
  </w:style>
  <w:style w:type="character" w:styleId="Hyperlink">
    <w:name w:val="Hyperlink"/>
    <w:basedOn w:val="DefaultParagraphFont"/>
    <w:uiPriority w:val="99"/>
    <w:unhideWhenUsed/>
    <w:rsid w:val="00F105D1"/>
    <w:rPr>
      <w:color w:val="0563C1" w:themeColor="hyperlink"/>
      <w:u w:val="single"/>
    </w:rPr>
  </w:style>
  <w:style w:type="paragraph" w:styleId="NormalWeb">
    <w:name w:val="Normal (Web)"/>
    <w:basedOn w:val="Normal"/>
    <w:uiPriority w:val="99"/>
    <w:unhideWhenUsed/>
    <w:rsid w:val="007674B1"/>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D43ECF"/>
    <w:rPr>
      <w:b/>
      <w:bCs/>
    </w:rPr>
  </w:style>
  <w:style w:type="character" w:styleId="PlaceholderText">
    <w:name w:val="Placeholder Text"/>
    <w:basedOn w:val="DefaultParagraphFont"/>
    <w:uiPriority w:val="99"/>
    <w:semiHidden/>
    <w:rsid w:val="009449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38012">
      <w:bodyDiv w:val="1"/>
      <w:marLeft w:val="0"/>
      <w:marRight w:val="0"/>
      <w:marTop w:val="0"/>
      <w:marBottom w:val="0"/>
      <w:divBdr>
        <w:top w:val="none" w:sz="0" w:space="0" w:color="auto"/>
        <w:left w:val="none" w:sz="0" w:space="0" w:color="auto"/>
        <w:bottom w:val="none" w:sz="0" w:space="0" w:color="auto"/>
        <w:right w:val="none" w:sz="0" w:space="0" w:color="auto"/>
      </w:divBdr>
      <w:divsChild>
        <w:div w:id="1998805896">
          <w:marLeft w:val="0"/>
          <w:marRight w:val="0"/>
          <w:marTop w:val="0"/>
          <w:marBottom w:val="0"/>
          <w:divBdr>
            <w:top w:val="none" w:sz="0" w:space="0" w:color="auto"/>
            <w:left w:val="none" w:sz="0" w:space="0" w:color="auto"/>
            <w:bottom w:val="none" w:sz="0" w:space="0" w:color="auto"/>
            <w:right w:val="none" w:sz="0" w:space="0" w:color="auto"/>
          </w:divBdr>
          <w:divsChild>
            <w:div w:id="895433658">
              <w:marLeft w:val="0"/>
              <w:marRight w:val="0"/>
              <w:marTop w:val="0"/>
              <w:marBottom w:val="0"/>
              <w:divBdr>
                <w:top w:val="none" w:sz="0" w:space="0" w:color="auto"/>
                <w:left w:val="none" w:sz="0" w:space="0" w:color="auto"/>
                <w:bottom w:val="none" w:sz="0" w:space="0" w:color="auto"/>
                <w:right w:val="none" w:sz="0" w:space="0" w:color="auto"/>
              </w:divBdr>
              <w:divsChild>
                <w:div w:id="11382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12278">
      <w:bodyDiv w:val="1"/>
      <w:marLeft w:val="0"/>
      <w:marRight w:val="0"/>
      <w:marTop w:val="0"/>
      <w:marBottom w:val="0"/>
      <w:divBdr>
        <w:top w:val="none" w:sz="0" w:space="0" w:color="auto"/>
        <w:left w:val="none" w:sz="0" w:space="0" w:color="auto"/>
        <w:bottom w:val="none" w:sz="0" w:space="0" w:color="auto"/>
        <w:right w:val="none" w:sz="0" w:space="0" w:color="auto"/>
      </w:divBdr>
    </w:div>
    <w:div w:id="518197166">
      <w:bodyDiv w:val="1"/>
      <w:marLeft w:val="0"/>
      <w:marRight w:val="0"/>
      <w:marTop w:val="0"/>
      <w:marBottom w:val="0"/>
      <w:divBdr>
        <w:top w:val="none" w:sz="0" w:space="0" w:color="auto"/>
        <w:left w:val="none" w:sz="0" w:space="0" w:color="auto"/>
        <w:bottom w:val="none" w:sz="0" w:space="0" w:color="auto"/>
        <w:right w:val="none" w:sz="0" w:space="0" w:color="auto"/>
      </w:divBdr>
      <w:divsChild>
        <w:div w:id="754015142">
          <w:marLeft w:val="0"/>
          <w:marRight w:val="0"/>
          <w:marTop w:val="0"/>
          <w:marBottom w:val="0"/>
          <w:divBdr>
            <w:top w:val="none" w:sz="0" w:space="0" w:color="auto"/>
            <w:left w:val="none" w:sz="0" w:space="0" w:color="auto"/>
            <w:bottom w:val="none" w:sz="0" w:space="0" w:color="auto"/>
            <w:right w:val="none" w:sz="0" w:space="0" w:color="auto"/>
          </w:divBdr>
          <w:divsChild>
            <w:div w:id="1998412931">
              <w:marLeft w:val="0"/>
              <w:marRight w:val="0"/>
              <w:marTop w:val="0"/>
              <w:marBottom w:val="0"/>
              <w:divBdr>
                <w:top w:val="none" w:sz="0" w:space="0" w:color="auto"/>
                <w:left w:val="none" w:sz="0" w:space="0" w:color="auto"/>
                <w:bottom w:val="none" w:sz="0" w:space="0" w:color="auto"/>
                <w:right w:val="none" w:sz="0" w:space="0" w:color="auto"/>
              </w:divBdr>
              <w:divsChild>
                <w:div w:id="5071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5514">
      <w:bodyDiv w:val="1"/>
      <w:marLeft w:val="0"/>
      <w:marRight w:val="0"/>
      <w:marTop w:val="0"/>
      <w:marBottom w:val="0"/>
      <w:divBdr>
        <w:top w:val="none" w:sz="0" w:space="0" w:color="auto"/>
        <w:left w:val="none" w:sz="0" w:space="0" w:color="auto"/>
        <w:bottom w:val="none" w:sz="0" w:space="0" w:color="auto"/>
        <w:right w:val="none" w:sz="0" w:space="0" w:color="auto"/>
      </w:divBdr>
    </w:div>
    <w:div w:id="803350122">
      <w:bodyDiv w:val="1"/>
      <w:marLeft w:val="0"/>
      <w:marRight w:val="0"/>
      <w:marTop w:val="0"/>
      <w:marBottom w:val="0"/>
      <w:divBdr>
        <w:top w:val="none" w:sz="0" w:space="0" w:color="auto"/>
        <w:left w:val="none" w:sz="0" w:space="0" w:color="auto"/>
        <w:bottom w:val="none" w:sz="0" w:space="0" w:color="auto"/>
        <w:right w:val="none" w:sz="0" w:space="0" w:color="auto"/>
      </w:divBdr>
    </w:div>
    <w:div w:id="820194318">
      <w:bodyDiv w:val="1"/>
      <w:marLeft w:val="0"/>
      <w:marRight w:val="0"/>
      <w:marTop w:val="0"/>
      <w:marBottom w:val="0"/>
      <w:divBdr>
        <w:top w:val="none" w:sz="0" w:space="0" w:color="auto"/>
        <w:left w:val="none" w:sz="0" w:space="0" w:color="auto"/>
        <w:bottom w:val="none" w:sz="0" w:space="0" w:color="auto"/>
        <w:right w:val="none" w:sz="0" w:space="0" w:color="auto"/>
      </w:divBdr>
      <w:divsChild>
        <w:div w:id="350111086">
          <w:marLeft w:val="0"/>
          <w:marRight w:val="0"/>
          <w:marTop w:val="0"/>
          <w:marBottom w:val="0"/>
          <w:divBdr>
            <w:top w:val="none" w:sz="0" w:space="0" w:color="auto"/>
            <w:left w:val="none" w:sz="0" w:space="0" w:color="auto"/>
            <w:bottom w:val="none" w:sz="0" w:space="0" w:color="auto"/>
            <w:right w:val="none" w:sz="0" w:space="0" w:color="auto"/>
          </w:divBdr>
          <w:divsChild>
            <w:div w:id="1465809275">
              <w:marLeft w:val="0"/>
              <w:marRight w:val="0"/>
              <w:marTop w:val="0"/>
              <w:marBottom w:val="0"/>
              <w:divBdr>
                <w:top w:val="none" w:sz="0" w:space="0" w:color="auto"/>
                <w:left w:val="none" w:sz="0" w:space="0" w:color="auto"/>
                <w:bottom w:val="none" w:sz="0" w:space="0" w:color="auto"/>
                <w:right w:val="none" w:sz="0" w:space="0" w:color="auto"/>
              </w:divBdr>
              <w:divsChild>
                <w:div w:id="10807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4520">
      <w:bodyDiv w:val="1"/>
      <w:marLeft w:val="0"/>
      <w:marRight w:val="0"/>
      <w:marTop w:val="0"/>
      <w:marBottom w:val="0"/>
      <w:divBdr>
        <w:top w:val="none" w:sz="0" w:space="0" w:color="auto"/>
        <w:left w:val="none" w:sz="0" w:space="0" w:color="auto"/>
        <w:bottom w:val="none" w:sz="0" w:space="0" w:color="auto"/>
        <w:right w:val="none" w:sz="0" w:space="0" w:color="auto"/>
      </w:divBdr>
      <w:divsChild>
        <w:div w:id="1005322298">
          <w:marLeft w:val="0"/>
          <w:marRight w:val="0"/>
          <w:marTop w:val="0"/>
          <w:marBottom w:val="0"/>
          <w:divBdr>
            <w:top w:val="none" w:sz="0" w:space="0" w:color="auto"/>
            <w:left w:val="none" w:sz="0" w:space="0" w:color="auto"/>
            <w:bottom w:val="none" w:sz="0" w:space="0" w:color="auto"/>
            <w:right w:val="none" w:sz="0" w:space="0" w:color="auto"/>
          </w:divBdr>
          <w:divsChild>
            <w:div w:id="2114158459">
              <w:marLeft w:val="0"/>
              <w:marRight w:val="0"/>
              <w:marTop w:val="0"/>
              <w:marBottom w:val="0"/>
              <w:divBdr>
                <w:top w:val="none" w:sz="0" w:space="0" w:color="auto"/>
                <w:left w:val="none" w:sz="0" w:space="0" w:color="auto"/>
                <w:bottom w:val="none" w:sz="0" w:space="0" w:color="auto"/>
                <w:right w:val="none" w:sz="0" w:space="0" w:color="auto"/>
              </w:divBdr>
              <w:divsChild>
                <w:div w:id="19639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33203">
      <w:bodyDiv w:val="1"/>
      <w:marLeft w:val="0"/>
      <w:marRight w:val="0"/>
      <w:marTop w:val="0"/>
      <w:marBottom w:val="0"/>
      <w:divBdr>
        <w:top w:val="none" w:sz="0" w:space="0" w:color="auto"/>
        <w:left w:val="none" w:sz="0" w:space="0" w:color="auto"/>
        <w:bottom w:val="none" w:sz="0" w:space="0" w:color="auto"/>
        <w:right w:val="none" w:sz="0" w:space="0" w:color="auto"/>
      </w:divBdr>
      <w:divsChild>
        <w:div w:id="765032127">
          <w:marLeft w:val="0"/>
          <w:marRight w:val="0"/>
          <w:marTop w:val="0"/>
          <w:marBottom w:val="0"/>
          <w:divBdr>
            <w:top w:val="none" w:sz="0" w:space="0" w:color="auto"/>
            <w:left w:val="none" w:sz="0" w:space="0" w:color="auto"/>
            <w:bottom w:val="none" w:sz="0" w:space="0" w:color="auto"/>
            <w:right w:val="none" w:sz="0" w:space="0" w:color="auto"/>
          </w:divBdr>
          <w:divsChild>
            <w:div w:id="662663090">
              <w:marLeft w:val="0"/>
              <w:marRight w:val="0"/>
              <w:marTop w:val="0"/>
              <w:marBottom w:val="0"/>
              <w:divBdr>
                <w:top w:val="none" w:sz="0" w:space="0" w:color="auto"/>
                <w:left w:val="none" w:sz="0" w:space="0" w:color="auto"/>
                <w:bottom w:val="none" w:sz="0" w:space="0" w:color="auto"/>
                <w:right w:val="none" w:sz="0" w:space="0" w:color="auto"/>
              </w:divBdr>
              <w:divsChild>
                <w:div w:id="1617978399">
                  <w:marLeft w:val="0"/>
                  <w:marRight w:val="0"/>
                  <w:marTop w:val="0"/>
                  <w:marBottom w:val="0"/>
                  <w:divBdr>
                    <w:top w:val="none" w:sz="0" w:space="0" w:color="auto"/>
                    <w:left w:val="none" w:sz="0" w:space="0" w:color="auto"/>
                    <w:bottom w:val="none" w:sz="0" w:space="0" w:color="auto"/>
                    <w:right w:val="none" w:sz="0" w:space="0" w:color="auto"/>
                  </w:divBdr>
                  <w:divsChild>
                    <w:div w:id="19767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18663">
      <w:bodyDiv w:val="1"/>
      <w:marLeft w:val="0"/>
      <w:marRight w:val="0"/>
      <w:marTop w:val="0"/>
      <w:marBottom w:val="0"/>
      <w:divBdr>
        <w:top w:val="none" w:sz="0" w:space="0" w:color="auto"/>
        <w:left w:val="none" w:sz="0" w:space="0" w:color="auto"/>
        <w:bottom w:val="none" w:sz="0" w:space="0" w:color="auto"/>
        <w:right w:val="none" w:sz="0" w:space="0" w:color="auto"/>
      </w:divBdr>
      <w:divsChild>
        <w:div w:id="2128113660">
          <w:marLeft w:val="0"/>
          <w:marRight w:val="0"/>
          <w:marTop w:val="0"/>
          <w:marBottom w:val="0"/>
          <w:divBdr>
            <w:top w:val="none" w:sz="0" w:space="0" w:color="auto"/>
            <w:left w:val="none" w:sz="0" w:space="0" w:color="auto"/>
            <w:bottom w:val="none" w:sz="0" w:space="0" w:color="auto"/>
            <w:right w:val="none" w:sz="0" w:space="0" w:color="auto"/>
          </w:divBdr>
          <w:divsChild>
            <w:div w:id="1448697172">
              <w:marLeft w:val="0"/>
              <w:marRight w:val="0"/>
              <w:marTop w:val="0"/>
              <w:marBottom w:val="0"/>
              <w:divBdr>
                <w:top w:val="none" w:sz="0" w:space="0" w:color="auto"/>
                <w:left w:val="none" w:sz="0" w:space="0" w:color="auto"/>
                <w:bottom w:val="none" w:sz="0" w:space="0" w:color="auto"/>
                <w:right w:val="none" w:sz="0" w:space="0" w:color="auto"/>
              </w:divBdr>
              <w:divsChild>
                <w:div w:id="10066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8366">
      <w:bodyDiv w:val="1"/>
      <w:marLeft w:val="0"/>
      <w:marRight w:val="0"/>
      <w:marTop w:val="0"/>
      <w:marBottom w:val="0"/>
      <w:divBdr>
        <w:top w:val="none" w:sz="0" w:space="0" w:color="auto"/>
        <w:left w:val="none" w:sz="0" w:space="0" w:color="auto"/>
        <w:bottom w:val="none" w:sz="0" w:space="0" w:color="auto"/>
        <w:right w:val="none" w:sz="0" w:space="0" w:color="auto"/>
      </w:divBdr>
    </w:div>
    <w:div w:id="1066417466">
      <w:bodyDiv w:val="1"/>
      <w:marLeft w:val="0"/>
      <w:marRight w:val="0"/>
      <w:marTop w:val="0"/>
      <w:marBottom w:val="0"/>
      <w:divBdr>
        <w:top w:val="none" w:sz="0" w:space="0" w:color="auto"/>
        <w:left w:val="none" w:sz="0" w:space="0" w:color="auto"/>
        <w:bottom w:val="none" w:sz="0" w:space="0" w:color="auto"/>
        <w:right w:val="none" w:sz="0" w:space="0" w:color="auto"/>
      </w:divBdr>
      <w:divsChild>
        <w:div w:id="1763523403">
          <w:marLeft w:val="0"/>
          <w:marRight w:val="0"/>
          <w:marTop w:val="0"/>
          <w:marBottom w:val="0"/>
          <w:divBdr>
            <w:top w:val="none" w:sz="0" w:space="0" w:color="auto"/>
            <w:left w:val="none" w:sz="0" w:space="0" w:color="auto"/>
            <w:bottom w:val="none" w:sz="0" w:space="0" w:color="auto"/>
            <w:right w:val="none" w:sz="0" w:space="0" w:color="auto"/>
          </w:divBdr>
          <w:divsChild>
            <w:div w:id="1931743082">
              <w:marLeft w:val="0"/>
              <w:marRight w:val="0"/>
              <w:marTop w:val="0"/>
              <w:marBottom w:val="0"/>
              <w:divBdr>
                <w:top w:val="none" w:sz="0" w:space="0" w:color="auto"/>
                <w:left w:val="none" w:sz="0" w:space="0" w:color="auto"/>
                <w:bottom w:val="none" w:sz="0" w:space="0" w:color="auto"/>
                <w:right w:val="none" w:sz="0" w:space="0" w:color="auto"/>
              </w:divBdr>
              <w:divsChild>
                <w:div w:id="17075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5332">
      <w:bodyDiv w:val="1"/>
      <w:marLeft w:val="0"/>
      <w:marRight w:val="0"/>
      <w:marTop w:val="0"/>
      <w:marBottom w:val="0"/>
      <w:divBdr>
        <w:top w:val="none" w:sz="0" w:space="0" w:color="auto"/>
        <w:left w:val="none" w:sz="0" w:space="0" w:color="auto"/>
        <w:bottom w:val="none" w:sz="0" w:space="0" w:color="auto"/>
        <w:right w:val="none" w:sz="0" w:space="0" w:color="auto"/>
      </w:divBdr>
      <w:divsChild>
        <w:div w:id="581333555">
          <w:marLeft w:val="0"/>
          <w:marRight w:val="0"/>
          <w:marTop w:val="0"/>
          <w:marBottom w:val="0"/>
          <w:divBdr>
            <w:top w:val="none" w:sz="0" w:space="0" w:color="auto"/>
            <w:left w:val="none" w:sz="0" w:space="0" w:color="auto"/>
            <w:bottom w:val="none" w:sz="0" w:space="0" w:color="auto"/>
            <w:right w:val="none" w:sz="0" w:space="0" w:color="auto"/>
          </w:divBdr>
          <w:divsChild>
            <w:div w:id="161707024">
              <w:marLeft w:val="0"/>
              <w:marRight w:val="0"/>
              <w:marTop w:val="0"/>
              <w:marBottom w:val="0"/>
              <w:divBdr>
                <w:top w:val="none" w:sz="0" w:space="0" w:color="auto"/>
                <w:left w:val="none" w:sz="0" w:space="0" w:color="auto"/>
                <w:bottom w:val="none" w:sz="0" w:space="0" w:color="auto"/>
                <w:right w:val="none" w:sz="0" w:space="0" w:color="auto"/>
              </w:divBdr>
              <w:divsChild>
                <w:div w:id="17620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73110">
      <w:bodyDiv w:val="1"/>
      <w:marLeft w:val="0"/>
      <w:marRight w:val="0"/>
      <w:marTop w:val="0"/>
      <w:marBottom w:val="0"/>
      <w:divBdr>
        <w:top w:val="none" w:sz="0" w:space="0" w:color="auto"/>
        <w:left w:val="none" w:sz="0" w:space="0" w:color="auto"/>
        <w:bottom w:val="none" w:sz="0" w:space="0" w:color="auto"/>
        <w:right w:val="none" w:sz="0" w:space="0" w:color="auto"/>
      </w:divBdr>
    </w:div>
    <w:div w:id="1213006065">
      <w:bodyDiv w:val="1"/>
      <w:marLeft w:val="0"/>
      <w:marRight w:val="0"/>
      <w:marTop w:val="0"/>
      <w:marBottom w:val="0"/>
      <w:divBdr>
        <w:top w:val="none" w:sz="0" w:space="0" w:color="auto"/>
        <w:left w:val="none" w:sz="0" w:space="0" w:color="auto"/>
        <w:bottom w:val="none" w:sz="0" w:space="0" w:color="auto"/>
        <w:right w:val="none" w:sz="0" w:space="0" w:color="auto"/>
      </w:divBdr>
      <w:divsChild>
        <w:div w:id="1437402815">
          <w:marLeft w:val="0"/>
          <w:marRight w:val="0"/>
          <w:marTop w:val="0"/>
          <w:marBottom w:val="0"/>
          <w:divBdr>
            <w:top w:val="none" w:sz="0" w:space="0" w:color="auto"/>
            <w:left w:val="none" w:sz="0" w:space="0" w:color="auto"/>
            <w:bottom w:val="none" w:sz="0" w:space="0" w:color="auto"/>
            <w:right w:val="none" w:sz="0" w:space="0" w:color="auto"/>
          </w:divBdr>
          <w:divsChild>
            <w:div w:id="1607352200">
              <w:marLeft w:val="0"/>
              <w:marRight w:val="0"/>
              <w:marTop w:val="0"/>
              <w:marBottom w:val="0"/>
              <w:divBdr>
                <w:top w:val="none" w:sz="0" w:space="0" w:color="auto"/>
                <w:left w:val="none" w:sz="0" w:space="0" w:color="auto"/>
                <w:bottom w:val="none" w:sz="0" w:space="0" w:color="auto"/>
                <w:right w:val="none" w:sz="0" w:space="0" w:color="auto"/>
              </w:divBdr>
              <w:divsChild>
                <w:div w:id="1265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3904">
      <w:bodyDiv w:val="1"/>
      <w:marLeft w:val="0"/>
      <w:marRight w:val="0"/>
      <w:marTop w:val="0"/>
      <w:marBottom w:val="0"/>
      <w:divBdr>
        <w:top w:val="none" w:sz="0" w:space="0" w:color="auto"/>
        <w:left w:val="none" w:sz="0" w:space="0" w:color="auto"/>
        <w:bottom w:val="none" w:sz="0" w:space="0" w:color="auto"/>
        <w:right w:val="none" w:sz="0" w:space="0" w:color="auto"/>
      </w:divBdr>
      <w:divsChild>
        <w:div w:id="307714610">
          <w:marLeft w:val="0"/>
          <w:marRight w:val="0"/>
          <w:marTop w:val="0"/>
          <w:marBottom w:val="0"/>
          <w:divBdr>
            <w:top w:val="none" w:sz="0" w:space="0" w:color="auto"/>
            <w:left w:val="none" w:sz="0" w:space="0" w:color="auto"/>
            <w:bottom w:val="none" w:sz="0" w:space="0" w:color="auto"/>
            <w:right w:val="none" w:sz="0" w:space="0" w:color="auto"/>
          </w:divBdr>
          <w:divsChild>
            <w:div w:id="1164705836">
              <w:marLeft w:val="0"/>
              <w:marRight w:val="0"/>
              <w:marTop w:val="0"/>
              <w:marBottom w:val="0"/>
              <w:divBdr>
                <w:top w:val="none" w:sz="0" w:space="0" w:color="auto"/>
                <w:left w:val="none" w:sz="0" w:space="0" w:color="auto"/>
                <w:bottom w:val="none" w:sz="0" w:space="0" w:color="auto"/>
                <w:right w:val="none" w:sz="0" w:space="0" w:color="auto"/>
              </w:divBdr>
              <w:divsChild>
                <w:div w:id="7941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9108">
      <w:bodyDiv w:val="1"/>
      <w:marLeft w:val="0"/>
      <w:marRight w:val="0"/>
      <w:marTop w:val="0"/>
      <w:marBottom w:val="0"/>
      <w:divBdr>
        <w:top w:val="none" w:sz="0" w:space="0" w:color="auto"/>
        <w:left w:val="none" w:sz="0" w:space="0" w:color="auto"/>
        <w:bottom w:val="none" w:sz="0" w:space="0" w:color="auto"/>
        <w:right w:val="none" w:sz="0" w:space="0" w:color="auto"/>
      </w:divBdr>
      <w:divsChild>
        <w:div w:id="1791128990">
          <w:marLeft w:val="0"/>
          <w:marRight w:val="0"/>
          <w:marTop w:val="0"/>
          <w:marBottom w:val="0"/>
          <w:divBdr>
            <w:top w:val="none" w:sz="0" w:space="0" w:color="auto"/>
            <w:left w:val="none" w:sz="0" w:space="0" w:color="auto"/>
            <w:bottom w:val="none" w:sz="0" w:space="0" w:color="auto"/>
            <w:right w:val="none" w:sz="0" w:space="0" w:color="auto"/>
          </w:divBdr>
          <w:divsChild>
            <w:div w:id="1483892736">
              <w:marLeft w:val="0"/>
              <w:marRight w:val="0"/>
              <w:marTop w:val="0"/>
              <w:marBottom w:val="0"/>
              <w:divBdr>
                <w:top w:val="none" w:sz="0" w:space="0" w:color="auto"/>
                <w:left w:val="none" w:sz="0" w:space="0" w:color="auto"/>
                <w:bottom w:val="none" w:sz="0" w:space="0" w:color="auto"/>
                <w:right w:val="none" w:sz="0" w:space="0" w:color="auto"/>
              </w:divBdr>
              <w:divsChild>
                <w:div w:id="20744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1747">
      <w:bodyDiv w:val="1"/>
      <w:marLeft w:val="0"/>
      <w:marRight w:val="0"/>
      <w:marTop w:val="0"/>
      <w:marBottom w:val="0"/>
      <w:divBdr>
        <w:top w:val="none" w:sz="0" w:space="0" w:color="auto"/>
        <w:left w:val="none" w:sz="0" w:space="0" w:color="auto"/>
        <w:bottom w:val="none" w:sz="0" w:space="0" w:color="auto"/>
        <w:right w:val="none" w:sz="0" w:space="0" w:color="auto"/>
      </w:divBdr>
    </w:div>
    <w:div w:id="1372808487">
      <w:bodyDiv w:val="1"/>
      <w:marLeft w:val="0"/>
      <w:marRight w:val="0"/>
      <w:marTop w:val="0"/>
      <w:marBottom w:val="0"/>
      <w:divBdr>
        <w:top w:val="none" w:sz="0" w:space="0" w:color="auto"/>
        <w:left w:val="none" w:sz="0" w:space="0" w:color="auto"/>
        <w:bottom w:val="none" w:sz="0" w:space="0" w:color="auto"/>
        <w:right w:val="none" w:sz="0" w:space="0" w:color="auto"/>
      </w:divBdr>
    </w:div>
    <w:div w:id="1396855230">
      <w:bodyDiv w:val="1"/>
      <w:marLeft w:val="0"/>
      <w:marRight w:val="0"/>
      <w:marTop w:val="0"/>
      <w:marBottom w:val="0"/>
      <w:divBdr>
        <w:top w:val="none" w:sz="0" w:space="0" w:color="auto"/>
        <w:left w:val="none" w:sz="0" w:space="0" w:color="auto"/>
        <w:bottom w:val="none" w:sz="0" w:space="0" w:color="auto"/>
        <w:right w:val="none" w:sz="0" w:space="0" w:color="auto"/>
      </w:divBdr>
    </w:div>
    <w:div w:id="1399671334">
      <w:bodyDiv w:val="1"/>
      <w:marLeft w:val="0"/>
      <w:marRight w:val="0"/>
      <w:marTop w:val="0"/>
      <w:marBottom w:val="0"/>
      <w:divBdr>
        <w:top w:val="none" w:sz="0" w:space="0" w:color="auto"/>
        <w:left w:val="none" w:sz="0" w:space="0" w:color="auto"/>
        <w:bottom w:val="none" w:sz="0" w:space="0" w:color="auto"/>
        <w:right w:val="none" w:sz="0" w:space="0" w:color="auto"/>
      </w:divBdr>
    </w:div>
    <w:div w:id="1415393490">
      <w:bodyDiv w:val="1"/>
      <w:marLeft w:val="0"/>
      <w:marRight w:val="0"/>
      <w:marTop w:val="0"/>
      <w:marBottom w:val="0"/>
      <w:divBdr>
        <w:top w:val="none" w:sz="0" w:space="0" w:color="auto"/>
        <w:left w:val="none" w:sz="0" w:space="0" w:color="auto"/>
        <w:bottom w:val="none" w:sz="0" w:space="0" w:color="auto"/>
        <w:right w:val="none" w:sz="0" w:space="0" w:color="auto"/>
      </w:divBdr>
      <w:divsChild>
        <w:div w:id="1549999362">
          <w:marLeft w:val="0"/>
          <w:marRight w:val="0"/>
          <w:marTop w:val="0"/>
          <w:marBottom w:val="0"/>
          <w:divBdr>
            <w:top w:val="none" w:sz="0" w:space="0" w:color="auto"/>
            <w:left w:val="none" w:sz="0" w:space="0" w:color="auto"/>
            <w:bottom w:val="none" w:sz="0" w:space="0" w:color="auto"/>
            <w:right w:val="none" w:sz="0" w:space="0" w:color="auto"/>
          </w:divBdr>
          <w:divsChild>
            <w:div w:id="927618146">
              <w:marLeft w:val="0"/>
              <w:marRight w:val="0"/>
              <w:marTop w:val="0"/>
              <w:marBottom w:val="0"/>
              <w:divBdr>
                <w:top w:val="none" w:sz="0" w:space="0" w:color="auto"/>
                <w:left w:val="none" w:sz="0" w:space="0" w:color="auto"/>
                <w:bottom w:val="none" w:sz="0" w:space="0" w:color="auto"/>
                <w:right w:val="none" w:sz="0" w:space="0" w:color="auto"/>
              </w:divBdr>
              <w:divsChild>
                <w:div w:id="738944742">
                  <w:marLeft w:val="0"/>
                  <w:marRight w:val="0"/>
                  <w:marTop w:val="0"/>
                  <w:marBottom w:val="0"/>
                  <w:divBdr>
                    <w:top w:val="none" w:sz="0" w:space="0" w:color="auto"/>
                    <w:left w:val="none" w:sz="0" w:space="0" w:color="auto"/>
                    <w:bottom w:val="none" w:sz="0" w:space="0" w:color="auto"/>
                    <w:right w:val="none" w:sz="0" w:space="0" w:color="auto"/>
                  </w:divBdr>
                  <w:divsChild>
                    <w:div w:id="17055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6296">
      <w:bodyDiv w:val="1"/>
      <w:marLeft w:val="0"/>
      <w:marRight w:val="0"/>
      <w:marTop w:val="0"/>
      <w:marBottom w:val="0"/>
      <w:divBdr>
        <w:top w:val="none" w:sz="0" w:space="0" w:color="auto"/>
        <w:left w:val="none" w:sz="0" w:space="0" w:color="auto"/>
        <w:bottom w:val="none" w:sz="0" w:space="0" w:color="auto"/>
        <w:right w:val="none" w:sz="0" w:space="0" w:color="auto"/>
      </w:divBdr>
      <w:divsChild>
        <w:div w:id="1362586437">
          <w:marLeft w:val="0"/>
          <w:marRight w:val="0"/>
          <w:marTop w:val="0"/>
          <w:marBottom w:val="0"/>
          <w:divBdr>
            <w:top w:val="none" w:sz="0" w:space="0" w:color="auto"/>
            <w:left w:val="none" w:sz="0" w:space="0" w:color="auto"/>
            <w:bottom w:val="none" w:sz="0" w:space="0" w:color="auto"/>
            <w:right w:val="none" w:sz="0" w:space="0" w:color="auto"/>
          </w:divBdr>
          <w:divsChild>
            <w:div w:id="1423068694">
              <w:marLeft w:val="0"/>
              <w:marRight w:val="0"/>
              <w:marTop w:val="0"/>
              <w:marBottom w:val="0"/>
              <w:divBdr>
                <w:top w:val="none" w:sz="0" w:space="0" w:color="auto"/>
                <w:left w:val="none" w:sz="0" w:space="0" w:color="auto"/>
                <w:bottom w:val="none" w:sz="0" w:space="0" w:color="auto"/>
                <w:right w:val="none" w:sz="0" w:space="0" w:color="auto"/>
              </w:divBdr>
              <w:divsChild>
                <w:div w:id="611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8570">
      <w:bodyDiv w:val="1"/>
      <w:marLeft w:val="0"/>
      <w:marRight w:val="0"/>
      <w:marTop w:val="0"/>
      <w:marBottom w:val="0"/>
      <w:divBdr>
        <w:top w:val="none" w:sz="0" w:space="0" w:color="auto"/>
        <w:left w:val="none" w:sz="0" w:space="0" w:color="auto"/>
        <w:bottom w:val="none" w:sz="0" w:space="0" w:color="auto"/>
        <w:right w:val="none" w:sz="0" w:space="0" w:color="auto"/>
      </w:divBdr>
      <w:divsChild>
        <w:div w:id="568198613">
          <w:marLeft w:val="0"/>
          <w:marRight w:val="0"/>
          <w:marTop w:val="0"/>
          <w:marBottom w:val="0"/>
          <w:divBdr>
            <w:top w:val="none" w:sz="0" w:space="0" w:color="auto"/>
            <w:left w:val="none" w:sz="0" w:space="0" w:color="auto"/>
            <w:bottom w:val="none" w:sz="0" w:space="0" w:color="auto"/>
            <w:right w:val="none" w:sz="0" w:space="0" w:color="auto"/>
          </w:divBdr>
          <w:divsChild>
            <w:div w:id="1566523411">
              <w:marLeft w:val="0"/>
              <w:marRight w:val="0"/>
              <w:marTop w:val="0"/>
              <w:marBottom w:val="0"/>
              <w:divBdr>
                <w:top w:val="none" w:sz="0" w:space="0" w:color="auto"/>
                <w:left w:val="none" w:sz="0" w:space="0" w:color="auto"/>
                <w:bottom w:val="none" w:sz="0" w:space="0" w:color="auto"/>
                <w:right w:val="none" w:sz="0" w:space="0" w:color="auto"/>
              </w:divBdr>
              <w:divsChild>
                <w:div w:id="4175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1996">
      <w:bodyDiv w:val="1"/>
      <w:marLeft w:val="0"/>
      <w:marRight w:val="0"/>
      <w:marTop w:val="0"/>
      <w:marBottom w:val="0"/>
      <w:divBdr>
        <w:top w:val="none" w:sz="0" w:space="0" w:color="auto"/>
        <w:left w:val="none" w:sz="0" w:space="0" w:color="auto"/>
        <w:bottom w:val="none" w:sz="0" w:space="0" w:color="auto"/>
        <w:right w:val="none" w:sz="0" w:space="0" w:color="auto"/>
      </w:divBdr>
      <w:divsChild>
        <w:div w:id="1901473450">
          <w:marLeft w:val="0"/>
          <w:marRight w:val="0"/>
          <w:marTop w:val="0"/>
          <w:marBottom w:val="0"/>
          <w:divBdr>
            <w:top w:val="none" w:sz="0" w:space="0" w:color="auto"/>
            <w:left w:val="none" w:sz="0" w:space="0" w:color="auto"/>
            <w:bottom w:val="none" w:sz="0" w:space="0" w:color="auto"/>
            <w:right w:val="none" w:sz="0" w:space="0" w:color="auto"/>
          </w:divBdr>
          <w:divsChild>
            <w:div w:id="1572231537">
              <w:marLeft w:val="0"/>
              <w:marRight w:val="0"/>
              <w:marTop w:val="0"/>
              <w:marBottom w:val="0"/>
              <w:divBdr>
                <w:top w:val="none" w:sz="0" w:space="0" w:color="auto"/>
                <w:left w:val="none" w:sz="0" w:space="0" w:color="auto"/>
                <w:bottom w:val="none" w:sz="0" w:space="0" w:color="auto"/>
                <w:right w:val="none" w:sz="0" w:space="0" w:color="auto"/>
              </w:divBdr>
              <w:divsChild>
                <w:div w:id="19483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92701">
      <w:bodyDiv w:val="1"/>
      <w:marLeft w:val="0"/>
      <w:marRight w:val="0"/>
      <w:marTop w:val="0"/>
      <w:marBottom w:val="0"/>
      <w:divBdr>
        <w:top w:val="none" w:sz="0" w:space="0" w:color="auto"/>
        <w:left w:val="none" w:sz="0" w:space="0" w:color="auto"/>
        <w:bottom w:val="none" w:sz="0" w:space="0" w:color="auto"/>
        <w:right w:val="none" w:sz="0" w:space="0" w:color="auto"/>
      </w:divBdr>
    </w:div>
    <w:div w:id="1555966198">
      <w:bodyDiv w:val="1"/>
      <w:marLeft w:val="0"/>
      <w:marRight w:val="0"/>
      <w:marTop w:val="0"/>
      <w:marBottom w:val="0"/>
      <w:divBdr>
        <w:top w:val="none" w:sz="0" w:space="0" w:color="auto"/>
        <w:left w:val="none" w:sz="0" w:space="0" w:color="auto"/>
        <w:bottom w:val="none" w:sz="0" w:space="0" w:color="auto"/>
        <w:right w:val="none" w:sz="0" w:space="0" w:color="auto"/>
      </w:divBdr>
      <w:divsChild>
        <w:div w:id="1987590744">
          <w:marLeft w:val="0"/>
          <w:marRight w:val="0"/>
          <w:marTop w:val="0"/>
          <w:marBottom w:val="0"/>
          <w:divBdr>
            <w:top w:val="none" w:sz="0" w:space="0" w:color="auto"/>
            <w:left w:val="none" w:sz="0" w:space="0" w:color="auto"/>
            <w:bottom w:val="none" w:sz="0" w:space="0" w:color="auto"/>
            <w:right w:val="none" w:sz="0" w:space="0" w:color="auto"/>
          </w:divBdr>
          <w:divsChild>
            <w:div w:id="842479246">
              <w:marLeft w:val="0"/>
              <w:marRight w:val="0"/>
              <w:marTop w:val="0"/>
              <w:marBottom w:val="0"/>
              <w:divBdr>
                <w:top w:val="none" w:sz="0" w:space="0" w:color="auto"/>
                <w:left w:val="none" w:sz="0" w:space="0" w:color="auto"/>
                <w:bottom w:val="none" w:sz="0" w:space="0" w:color="auto"/>
                <w:right w:val="none" w:sz="0" w:space="0" w:color="auto"/>
              </w:divBdr>
              <w:divsChild>
                <w:div w:id="7110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6884">
      <w:bodyDiv w:val="1"/>
      <w:marLeft w:val="0"/>
      <w:marRight w:val="0"/>
      <w:marTop w:val="0"/>
      <w:marBottom w:val="0"/>
      <w:divBdr>
        <w:top w:val="none" w:sz="0" w:space="0" w:color="auto"/>
        <w:left w:val="none" w:sz="0" w:space="0" w:color="auto"/>
        <w:bottom w:val="none" w:sz="0" w:space="0" w:color="auto"/>
        <w:right w:val="none" w:sz="0" w:space="0" w:color="auto"/>
      </w:divBdr>
      <w:divsChild>
        <w:div w:id="2147164698">
          <w:marLeft w:val="0"/>
          <w:marRight w:val="0"/>
          <w:marTop w:val="0"/>
          <w:marBottom w:val="0"/>
          <w:divBdr>
            <w:top w:val="none" w:sz="0" w:space="0" w:color="auto"/>
            <w:left w:val="none" w:sz="0" w:space="0" w:color="auto"/>
            <w:bottom w:val="none" w:sz="0" w:space="0" w:color="auto"/>
            <w:right w:val="none" w:sz="0" w:space="0" w:color="auto"/>
          </w:divBdr>
          <w:divsChild>
            <w:div w:id="2127892077">
              <w:marLeft w:val="0"/>
              <w:marRight w:val="0"/>
              <w:marTop w:val="0"/>
              <w:marBottom w:val="0"/>
              <w:divBdr>
                <w:top w:val="none" w:sz="0" w:space="0" w:color="auto"/>
                <w:left w:val="none" w:sz="0" w:space="0" w:color="auto"/>
                <w:bottom w:val="none" w:sz="0" w:space="0" w:color="auto"/>
                <w:right w:val="none" w:sz="0" w:space="0" w:color="auto"/>
              </w:divBdr>
              <w:divsChild>
                <w:div w:id="1904875995">
                  <w:marLeft w:val="0"/>
                  <w:marRight w:val="0"/>
                  <w:marTop w:val="0"/>
                  <w:marBottom w:val="0"/>
                  <w:divBdr>
                    <w:top w:val="none" w:sz="0" w:space="0" w:color="auto"/>
                    <w:left w:val="none" w:sz="0" w:space="0" w:color="auto"/>
                    <w:bottom w:val="none" w:sz="0" w:space="0" w:color="auto"/>
                    <w:right w:val="none" w:sz="0" w:space="0" w:color="auto"/>
                  </w:divBdr>
                  <w:divsChild>
                    <w:div w:id="871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16389">
      <w:bodyDiv w:val="1"/>
      <w:marLeft w:val="0"/>
      <w:marRight w:val="0"/>
      <w:marTop w:val="0"/>
      <w:marBottom w:val="0"/>
      <w:divBdr>
        <w:top w:val="none" w:sz="0" w:space="0" w:color="auto"/>
        <w:left w:val="none" w:sz="0" w:space="0" w:color="auto"/>
        <w:bottom w:val="none" w:sz="0" w:space="0" w:color="auto"/>
        <w:right w:val="none" w:sz="0" w:space="0" w:color="auto"/>
      </w:divBdr>
      <w:divsChild>
        <w:div w:id="466362783">
          <w:marLeft w:val="0"/>
          <w:marRight w:val="0"/>
          <w:marTop w:val="0"/>
          <w:marBottom w:val="0"/>
          <w:divBdr>
            <w:top w:val="none" w:sz="0" w:space="0" w:color="auto"/>
            <w:left w:val="none" w:sz="0" w:space="0" w:color="auto"/>
            <w:bottom w:val="none" w:sz="0" w:space="0" w:color="auto"/>
            <w:right w:val="none" w:sz="0" w:space="0" w:color="auto"/>
          </w:divBdr>
          <w:divsChild>
            <w:div w:id="2119904373">
              <w:marLeft w:val="0"/>
              <w:marRight w:val="0"/>
              <w:marTop w:val="0"/>
              <w:marBottom w:val="0"/>
              <w:divBdr>
                <w:top w:val="none" w:sz="0" w:space="0" w:color="auto"/>
                <w:left w:val="none" w:sz="0" w:space="0" w:color="auto"/>
                <w:bottom w:val="none" w:sz="0" w:space="0" w:color="auto"/>
                <w:right w:val="none" w:sz="0" w:space="0" w:color="auto"/>
              </w:divBdr>
              <w:divsChild>
                <w:div w:id="603654792">
                  <w:marLeft w:val="0"/>
                  <w:marRight w:val="0"/>
                  <w:marTop w:val="0"/>
                  <w:marBottom w:val="0"/>
                  <w:divBdr>
                    <w:top w:val="none" w:sz="0" w:space="0" w:color="auto"/>
                    <w:left w:val="none" w:sz="0" w:space="0" w:color="auto"/>
                    <w:bottom w:val="none" w:sz="0" w:space="0" w:color="auto"/>
                    <w:right w:val="none" w:sz="0" w:space="0" w:color="auto"/>
                  </w:divBdr>
                  <w:divsChild>
                    <w:div w:id="16528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95639">
      <w:bodyDiv w:val="1"/>
      <w:marLeft w:val="0"/>
      <w:marRight w:val="0"/>
      <w:marTop w:val="0"/>
      <w:marBottom w:val="0"/>
      <w:divBdr>
        <w:top w:val="none" w:sz="0" w:space="0" w:color="auto"/>
        <w:left w:val="none" w:sz="0" w:space="0" w:color="auto"/>
        <w:bottom w:val="none" w:sz="0" w:space="0" w:color="auto"/>
        <w:right w:val="none" w:sz="0" w:space="0" w:color="auto"/>
      </w:divBdr>
    </w:div>
    <w:div w:id="1866942888">
      <w:bodyDiv w:val="1"/>
      <w:marLeft w:val="0"/>
      <w:marRight w:val="0"/>
      <w:marTop w:val="0"/>
      <w:marBottom w:val="0"/>
      <w:divBdr>
        <w:top w:val="none" w:sz="0" w:space="0" w:color="auto"/>
        <w:left w:val="none" w:sz="0" w:space="0" w:color="auto"/>
        <w:bottom w:val="none" w:sz="0" w:space="0" w:color="auto"/>
        <w:right w:val="none" w:sz="0" w:space="0" w:color="auto"/>
      </w:divBdr>
      <w:divsChild>
        <w:div w:id="699547935">
          <w:marLeft w:val="0"/>
          <w:marRight w:val="0"/>
          <w:marTop w:val="0"/>
          <w:marBottom w:val="0"/>
          <w:divBdr>
            <w:top w:val="none" w:sz="0" w:space="0" w:color="auto"/>
            <w:left w:val="none" w:sz="0" w:space="0" w:color="auto"/>
            <w:bottom w:val="none" w:sz="0" w:space="0" w:color="auto"/>
            <w:right w:val="none" w:sz="0" w:space="0" w:color="auto"/>
          </w:divBdr>
          <w:divsChild>
            <w:div w:id="297303333">
              <w:marLeft w:val="0"/>
              <w:marRight w:val="0"/>
              <w:marTop w:val="0"/>
              <w:marBottom w:val="0"/>
              <w:divBdr>
                <w:top w:val="none" w:sz="0" w:space="0" w:color="auto"/>
                <w:left w:val="none" w:sz="0" w:space="0" w:color="auto"/>
                <w:bottom w:val="none" w:sz="0" w:space="0" w:color="auto"/>
                <w:right w:val="none" w:sz="0" w:space="0" w:color="auto"/>
              </w:divBdr>
              <w:divsChild>
                <w:div w:id="1371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29523">
      <w:bodyDiv w:val="1"/>
      <w:marLeft w:val="0"/>
      <w:marRight w:val="0"/>
      <w:marTop w:val="0"/>
      <w:marBottom w:val="0"/>
      <w:divBdr>
        <w:top w:val="none" w:sz="0" w:space="0" w:color="auto"/>
        <w:left w:val="none" w:sz="0" w:space="0" w:color="auto"/>
        <w:bottom w:val="none" w:sz="0" w:space="0" w:color="auto"/>
        <w:right w:val="none" w:sz="0" w:space="0" w:color="auto"/>
      </w:divBdr>
      <w:divsChild>
        <w:div w:id="2043479867">
          <w:marLeft w:val="0"/>
          <w:marRight w:val="0"/>
          <w:marTop w:val="0"/>
          <w:marBottom w:val="0"/>
          <w:divBdr>
            <w:top w:val="none" w:sz="0" w:space="0" w:color="auto"/>
            <w:left w:val="none" w:sz="0" w:space="0" w:color="auto"/>
            <w:bottom w:val="none" w:sz="0" w:space="0" w:color="auto"/>
            <w:right w:val="none" w:sz="0" w:space="0" w:color="auto"/>
          </w:divBdr>
          <w:divsChild>
            <w:div w:id="1083407785">
              <w:marLeft w:val="0"/>
              <w:marRight w:val="0"/>
              <w:marTop w:val="0"/>
              <w:marBottom w:val="0"/>
              <w:divBdr>
                <w:top w:val="none" w:sz="0" w:space="0" w:color="auto"/>
                <w:left w:val="none" w:sz="0" w:space="0" w:color="auto"/>
                <w:bottom w:val="none" w:sz="0" w:space="0" w:color="auto"/>
                <w:right w:val="none" w:sz="0" w:space="0" w:color="auto"/>
              </w:divBdr>
              <w:divsChild>
                <w:div w:id="2103333498">
                  <w:marLeft w:val="0"/>
                  <w:marRight w:val="0"/>
                  <w:marTop w:val="0"/>
                  <w:marBottom w:val="0"/>
                  <w:divBdr>
                    <w:top w:val="none" w:sz="0" w:space="0" w:color="auto"/>
                    <w:left w:val="none" w:sz="0" w:space="0" w:color="auto"/>
                    <w:bottom w:val="none" w:sz="0" w:space="0" w:color="auto"/>
                    <w:right w:val="none" w:sz="0" w:space="0" w:color="auto"/>
                  </w:divBdr>
                  <w:divsChild>
                    <w:div w:id="2423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6497/respirsci.v1i2.2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F212-76B7-4ADA-8B49-629E616D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22767</Words>
  <Characters>129772</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Handayani</dc:creator>
  <cp:keywords/>
  <dc:description/>
  <cp:lastModifiedBy>Vrionaade@outlook.com</cp:lastModifiedBy>
  <cp:revision>8</cp:revision>
  <cp:lastPrinted>2022-11-30T13:04:00Z</cp:lastPrinted>
  <dcterms:created xsi:type="dcterms:W3CDTF">2022-11-30T13:04:00Z</dcterms:created>
  <dcterms:modified xsi:type="dcterms:W3CDTF">2022-12-13T01:19:00Z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55488701-bd94-3f8b-9099-02fd53a0218c</vt:lpwstr>
  </property>
  <property fmtid="{D5CDD505-2E9C-101B-9397-08002B2CF9AE}" pid="24" name="Mendeley Citation Style_1">
    <vt:lpwstr>http://www.zotero.org/styles/vancouver</vt:lpwstr>
  </property>
</Properties>
</file>