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DBA29" w14:textId="10FC8129" w:rsidR="00CA3C5D" w:rsidRDefault="00CA3C5D" w:rsidP="00CA3C5D">
      <w:pPr>
        <w:spacing w:after="0" w:line="276" w:lineRule="auto"/>
        <w:jc w:val="center"/>
        <w:rPr>
          <w:rFonts w:ascii="Tahoma" w:hAnsi="Tahoma" w:cs="Tahoma"/>
          <w:b/>
          <w:sz w:val="28"/>
          <w:szCs w:val="24"/>
        </w:rPr>
      </w:pPr>
      <w:r>
        <w:rPr>
          <w:rFonts w:ascii="Tahoma" w:hAnsi="Tahoma" w:cs="Tahoma"/>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Pr>
          <w:rFonts w:ascii="Tahoma" w:hAnsi="Tahoma" w:cs="Tahoma"/>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2724A73F" w:rsidR="00CA3C5D" w:rsidRPr="00CB689C" w:rsidRDefault="0019718A"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Literature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" fillcolor="#2d328e" stroked="f" strokeweight="1pt">
                <v:textbox>
                  <w:txbxContent>
                    <w:p w14:paraId="087ECB2E" w14:textId="2724A73F" w:rsidR="00CA3C5D" w:rsidRPr="00CB689C" w:rsidRDefault="0019718A"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Pr>
                          <w:rFonts w:ascii="Tahoma" w:hAnsi="Tahoma" w:cs="Tahoma"/>
                          <w:b/>
                          <w:color w:val="FFFFFF" w:themeColor="background1"/>
                          <w:sz w:val="28"/>
                          <w:szCs w:val="24"/>
                        </w:rPr>
                        <w:t>Literature Review</w:t>
                      </w:r>
                    </w:p>
                  </w:txbxContent>
                </v:textbox>
              </v:rect>
            </w:pict>
          </mc:Fallback>
        </mc:AlternateContent>
      </w:r>
      <w:r>
        <w:rPr>
          <w:rFonts w:ascii="Tahoma" w:hAnsi="Tahoma" w:cs="Tahoma"/>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553131D9"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color w:val="363435"/>
          <w:sz w:val="30"/>
          <w:szCs w:val="30"/>
        </w:rPr>
      </w:pPr>
    </w:p>
    <w:p w14:paraId="770F1FAA"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sectPr w:rsidR="00CA3C5D" w:rsidSect="00F105D1">
          <w:headerReference w:type="even" r:id="rId9"/>
          <w:headerReference w:type="default" r:id="rId10"/>
          <w:footerReference w:type="even" r:id="rId11"/>
          <w:footerReference w:type="default" r:id="rId12"/>
          <w:footerReference w:type="first" r:id="rId13"/>
          <w:type w:val="continuous"/>
          <w:pgSz w:w="11906" w:h="16838" w:code="9"/>
          <w:pgMar w:top="1418" w:right="907" w:bottom="868" w:left="964" w:header="709" w:footer="709" w:gutter="0"/>
          <w:cols w:num="2" w:space="708"/>
          <w:titlePg/>
          <w:docGrid w:linePitch="360"/>
        </w:sectPr>
      </w:pPr>
    </w:p>
    <w:p w14:paraId="767A45A6" w14:textId="77777777" w:rsidR="00CA3C5D" w:rsidRDefault="00CA3C5D" w:rsidP="00EC49FC">
      <w:pPr>
        <w:widowControl w:val="0"/>
        <w:autoSpaceDE w:val="0"/>
        <w:autoSpaceDN w:val="0"/>
        <w:adjustRightInd w:val="0"/>
        <w:spacing w:after="0" w:line="240" w:lineRule="auto"/>
        <w:ind w:right="32"/>
        <w:jc w:val="center"/>
        <w:rPr>
          <w:rFonts w:ascii="Arial" w:hAnsi="Arial" w:cs="Arial"/>
          <w:b/>
          <w:bCs/>
          <w:i/>
          <w:iCs/>
          <w:color w:val="363435"/>
          <w:sz w:val="30"/>
          <w:szCs w:val="30"/>
        </w:rPr>
      </w:pPr>
    </w:p>
    <w:p w14:paraId="33E685E7" w14:textId="5EB79A8A" w:rsidR="00E344E0" w:rsidRPr="00C31A18" w:rsidRDefault="00C31A18" w:rsidP="00C31A18">
      <w:pPr>
        <w:widowControl w:val="0"/>
        <w:autoSpaceDE w:val="0"/>
        <w:autoSpaceDN w:val="0"/>
        <w:adjustRightInd w:val="0"/>
        <w:spacing w:after="0" w:line="240" w:lineRule="auto"/>
        <w:ind w:right="32"/>
        <w:jc w:val="center"/>
        <w:rPr>
          <w:rFonts w:ascii="Arial" w:hAnsi="Arial" w:cs="Arial"/>
          <w:b/>
          <w:bCs/>
          <w:color w:val="363435"/>
          <w:sz w:val="30"/>
          <w:szCs w:val="30"/>
        </w:rPr>
      </w:pPr>
      <w:r>
        <w:rPr>
          <w:rFonts w:ascii="Arial" w:hAnsi="Arial" w:cs="Arial"/>
          <w:b/>
          <w:bCs/>
          <w:color w:val="363435"/>
          <w:sz w:val="30"/>
          <w:szCs w:val="30"/>
        </w:rPr>
        <w:t>Mepolizumab’s (Anti-Interleukin-5) Role in Asthma: A Literature Review</w:t>
      </w:r>
    </w:p>
    <w:p w14:paraId="16C77BB5" w14:textId="2ACA80BE" w:rsidR="00E344E0" w:rsidRDefault="00C31A18" w:rsidP="00C31A18">
      <w:pPr>
        <w:widowControl w:val="0"/>
        <w:autoSpaceDE w:val="0"/>
        <w:autoSpaceDN w:val="0"/>
        <w:adjustRightInd w:val="0"/>
        <w:spacing w:after="0" w:line="240" w:lineRule="auto"/>
        <w:ind w:right="32"/>
        <w:jc w:val="center"/>
        <w:rPr>
          <w:rFonts w:ascii="Arial" w:hAnsi="Arial" w:cs="Arial"/>
          <w:color w:val="000000"/>
          <w:sz w:val="20"/>
          <w:szCs w:val="20"/>
        </w:rPr>
      </w:pPr>
      <w:r>
        <w:rPr>
          <w:rFonts w:ascii="Arial" w:hAnsi="Arial" w:cs="Arial"/>
          <w:b/>
          <w:bCs/>
          <w:i/>
          <w:iCs/>
          <w:color w:val="363435"/>
          <w:sz w:val="20"/>
          <w:szCs w:val="20"/>
        </w:rPr>
        <w:t>Dewi Wijaya</w:t>
      </w:r>
      <w:r w:rsidR="00E344E0">
        <w:rPr>
          <w:rFonts w:ascii="Arial" w:hAnsi="Arial" w:cs="Arial"/>
          <w:b/>
          <w:bCs/>
          <w:i/>
          <w:iCs/>
          <w:color w:val="363435"/>
          <w:w w:val="106"/>
          <w:position w:val="7"/>
          <w:sz w:val="11"/>
          <w:szCs w:val="11"/>
        </w:rPr>
        <w:t>1</w:t>
      </w:r>
      <w:r w:rsidR="00E344E0" w:rsidRPr="00E344E0">
        <w:rPr>
          <w:noProof/>
        </w:rPr>
        <w:t xml:space="preserve"> </w:t>
      </w:r>
      <w:r w:rsidR="00E344E0">
        <w:rPr>
          <w:noProof/>
        </w:rPr>
        <w:drawing>
          <wp:inline distT="0" distB="0" distL="0" distR="0" wp14:anchorId="5C4EAD62" wp14:editId="515E63F0">
            <wp:extent cx="108948" cy="108948"/>
            <wp:effectExtent l="0" t="0" r="5715" b="5715"/>
            <wp:docPr id="6" name="Picture 6"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sidR="00E344E0">
        <w:rPr>
          <w:rFonts w:ascii="Arial" w:hAnsi="Arial" w:cs="Arial"/>
          <w:b/>
          <w:bCs/>
          <w:i/>
          <w:color w:val="363435"/>
          <w:sz w:val="20"/>
          <w:szCs w:val="30"/>
        </w:rPr>
        <w:t xml:space="preserve">, </w:t>
      </w:r>
      <w:r>
        <w:rPr>
          <w:rFonts w:ascii="Arial" w:hAnsi="Arial" w:cs="Arial"/>
          <w:b/>
          <w:bCs/>
          <w:i/>
          <w:color w:val="363435"/>
          <w:sz w:val="20"/>
          <w:szCs w:val="30"/>
        </w:rPr>
        <w:t>Indi Esha</w:t>
      </w:r>
      <w:r w:rsidR="00E344E0">
        <w:rPr>
          <w:rFonts w:ascii="Arial" w:hAnsi="Arial" w:cs="Arial"/>
          <w:b/>
          <w:bCs/>
          <w:i/>
          <w:iCs/>
          <w:color w:val="363435"/>
          <w:w w:val="106"/>
          <w:position w:val="7"/>
          <w:sz w:val="11"/>
          <w:szCs w:val="11"/>
        </w:rPr>
        <w:t>1</w:t>
      </w:r>
      <w:r w:rsidR="00E344E0">
        <w:rPr>
          <w:rFonts w:ascii="Arial" w:hAnsi="Arial" w:cs="Arial"/>
          <w:b/>
          <w:bCs/>
          <w:i/>
          <w:iCs/>
          <w:color w:val="363435"/>
          <w:w w:val="106"/>
          <w:position w:val="7"/>
          <w:sz w:val="9"/>
          <w:szCs w:val="11"/>
        </w:rPr>
        <w:t xml:space="preserve"> </w:t>
      </w:r>
      <w:r>
        <w:rPr>
          <w:rFonts w:ascii="Arial" w:hAnsi="Arial" w:cs="Arial"/>
          <w:b/>
          <w:bCs/>
          <w:i/>
          <w:iCs/>
          <w:color w:val="363435"/>
          <w:sz w:val="20"/>
          <w:szCs w:val="20"/>
        </w:rPr>
        <w:t xml:space="preserve">, </w:t>
      </w:r>
      <w:proofErr w:type="spellStart"/>
      <w:r>
        <w:rPr>
          <w:rFonts w:ascii="Arial" w:hAnsi="Arial" w:cs="Arial"/>
          <w:b/>
          <w:bCs/>
          <w:i/>
          <w:iCs/>
          <w:color w:val="363435"/>
          <w:sz w:val="20"/>
          <w:szCs w:val="20"/>
        </w:rPr>
        <w:t>Atikanur</w:t>
      </w:r>
      <w:proofErr w:type="spellEnd"/>
      <w:r>
        <w:rPr>
          <w:rFonts w:ascii="Arial" w:hAnsi="Arial" w:cs="Arial"/>
          <w:b/>
          <w:bCs/>
          <w:i/>
          <w:iCs/>
          <w:color w:val="363435"/>
          <w:w w:val="106"/>
          <w:position w:val="7"/>
          <w:sz w:val="11"/>
          <w:szCs w:val="11"/>
        </w:rPr>
        <w:t>1</w:t>
      </w:r>
      <w:r w:rsidRPr="00E344E0">
        <w:rPr>
          <w:noProof/>
        </w:rPr>
        <w:t xml:space="preserve"> </w:t>
      </w:r>
      <w:r>
        <w:rPr>
          <w:noProof/>
        </w:rPr>
        <w:drawing>
          <wp:inline distT="0" distB="0" distL="0" distR="0" wp14:anchorId="792AC3EF" wp14:editId="78AB997D">
            <wp:extent cx="108948" cy="108948"/>
            <wp:effectExtent l="0" t="0" r="5715" b="5715"/>
            <wp:docPr id="987724870" name="Picture 987724870"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Pr>
          <w:rFonts w:ascii="Arial" w:hAnsi="Arial" w:cs="Arial"/>
          <w:b/>
          <w:bCs/>
          <w:i/>
          <w:color w:val="363435"/>
          <w:sz w:val="20"/>
          <w:szCs w:val="30"/>
        </w:rPr>
        <w:t>,</w:t>
      </w:r>
      <w:r w:rsidRPr="00C31A18">
        <w:rPr>
          <w:rFonts w:ascii="Arial" w:hAnsi="Arial" w:cs="Arial"/>
          <w:b/>
          <w:bCs/>
          <w:i/>
          <w:iCs/>
          <w:color w:val="363435"/>
          <w:sz w:val="20"/>
          <w:szCs w:val="20"/>
        </w:rPr>
        <w:t xml:space="preserve"> </w:t>
      </w:r>
      <w:r>
        <w:rPr>
          <w:rFonts w:ascii="Arial" w:hAnsi="Arial" w:cs="Arial"/>
          <w:b/>
          <w:bCs/>
          <w:i/>
          <w:iCs/>
          <w:color w:val="363435"/>
          <w:sz w:val="20"/>
          <w:szCs w:val="20"/>
        </w:rPr>
        <w:t xml:space="preserve">Arya </w:t>
      </w:r>
      <w:proofErr w:type="spellStart"/>
      <w:r>
        <w:rPr>
          <w:rFonts w:ascii="Arial" w:hAnsi="Arial" w:cs="Arial"/>
          <w:b/>
          <w:bCs/>
          <w:i/>
          <w:iCs/>
          <w:color w:val="363435"/>
          <w:sz w:val="20"/>
          <w:szCs w:val="20"/>
        </w:rPr>
        <w:t>Marganda</w:t>
      </w:r>
      <w:proofErr w:type="spellEnd"/>
      <w:r>
        <w:rPr>
          <w:rFonts w:ascii="Arial" w:hAnsi="Arial" w:cs="Arial"/>
          <w:b/>
          <w:bCs/>
          <w:i/>
          <w:iCs/>
          <w:color w:val="363435"/>
          <w:sz w:val="20"/>
          <w:szCs w:val="20"/>
        </w:rPr>
        <w:t xml:space="preserve"> Simanjuntak</w:t>
      </w:r>
      <w:r>
        <w:rPr>
          <w:rFonts w:ascii="Arial" w:hAnsi="Arial" w:cs="Arial"/>
          <w:b/>
          <w:bCs/>
          <w:i/>
          <w:iCs/>
          <w:color w:val="363435"/>
          <w:w w:val="106"/>
          <w:position w:val="7"/>
          <w:sz w:val="11"/>
          <w:szCs w:val="11"/>
        </w:rPr>
        <w:t>2</w:t>
      </w:r>
      <w:r w:rsidRPr="00E344E0">
        <w:rPr>
          <w:noProof/>
        </w:rPr>
        <w:t xml:space="preserve"> </w:t>
      </w:r>
      <w:r>
        <w:rPr>
          <w:noProof/>
        </w:rPr>
        <w:drawing>
          <wp:inline distT="0" distB="0" distL="0" distR="0" wp14:anchorId="3E884687" wp14:editId="0D067E2A">
            <wp:extent cx="108948" cy="108948"/>
            <wp:effectExtent l="0" t="0" r="5715" b="5715"/>
            <wp:docPr id="2905184" name="Picture 2905184"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Pr>
          <w:rFonts w:ascii="Arial" w:hAnsi="Arial" w:cs="Arial"/>
          <w:b/>
          <w:bCs/>
          <w:i/>
          <w:color w:val="363435"/>
          <w:sz w:val="20"/>
          <w:szCs w:val="30"/>
        </w:rPr>
        <w:t>,</w:t>
      </w:r>
    </w:p>
    <w:p w14:paraId="7DE18AC5" w14:textId="37B326DE" w:rsidR="00E344E0" w:rsidRDefault="00E344E0" w:rsidP="00E344E0">
      <w:pPr>
        <w:widowControl w:val="0"/>
        <w:autoSpaceDE w:val="0"/>
        <w:autoSpaceDN w:val="0"/>
        <w:adjustRightInd w:val="0"/>
        <w:spacing w:after="0" w:line="240" w:lineRule="auto"/>
        <w:ind w:right="32"/>
        <w:jc w:val="center"/>
        <w:rPr>
          <w:rFonts w:ascii="Arial" w:hAnsi="Arial" w:cs="Arial"/>
          <w:bCs/>
          <w:color w:val="363435"/>
          <w:sz w:val="20"/>
          <w:szCs w:val="3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r w:rsidR="00C31A18">
        <w:rPr>
          <w:rFonts w:ascii="Arial" w:hAnsi="Arial" w:cs="Arial"/>
          <w:i/>
          <w:iCs/>
          <w:color w:val="363435"/>
          <w:sz w:val="20"/>
          <w:szCs w:val="20"/>
        </w:rPr>
        <w:t xml:space="preserve">Department of Pulmonology and Respiratory Medicine, Faculty of Medicine, Universitas Riau, Arifin Achmad General Hospital, </w:t>
      </w:r>
      <w:proofErr w:type="spellStart"/>
      <w:r w:rsidR="00C31A18">
        <w:rPr>
          <w:rFonts w:ascii="Arial" w:hAnsi="Arial" w:cs="Arial"/>
          <w:i/>
          <w:iCs/>
          <w:color w:val="363435"/>
          <w:sz w:val="20"/>
          <w:szCs w:val="20"/>
        </w:rPr>
        <w:t>Pekanbaru</w:t>
      </w:r>
      <w:proofErr w:type="spellEnd"/>
      <w:r w:rsidR="00C31A18">
        <w:rPr>
          <w:rFonts w:ascii="Arial" w:hAnsi="Arial" w:cs="Arial"/>
          <w:i/>
          <w:iCs/>
          <w:color w:val="363435"/>
          <w:sz w:val="20"/>
          <w:szCs w:val="20"/>
        </w:rPr>
        <w:t>, Indonesia</w:t>
      </w:r>
    </w:p>
    <w:p w14:paraId="66F23ABD" w14:textId="7C39DED3" w:rsidR="00C31A18" w:rsidRDefault="00C31A18" w:rsidP="00C31A18">
      <w:pPr>
        <w:widowControl w:val="0"/>
        <w:autoSpaceDE w:val="0"/>
        <w:autoSpaceDN w:val="0"/>
        <w:adjustRightInd w:val="0"/>
        <w:spacing w:after="0" w:line="240" w:lineRule="auto"/>
        <w:ind w:right="32"/>
        <w:jc w:val="center"/>
        <w:rPr>
          <w:rFonts w:ascii="Arial" w:hAnsi="Arial" w:cs="Arial"/>
          <w:color w:val="000000"/>
          <w:sz w:val="11"/>
          <w:szCs w:val="11"/>
        </w:rPr>
      </w:pPr>
      <w:r>
        <w:rPr>
          <w:rFonts w:ascii="Arial" w:hAnsi="Arial" w:cs="Arial"/>
          <w:i/>
          <w:iCs/>
          <w:color w:val="363435"/>
          <w:position w:val="7"/>
          <w:sz w:val="11"/>
          <w:szCs w:val="11"/>
        </w:rPr>
        <w:t>2</w:t>
      </w:r>
      <w:r>
        <w:rPr>
          <w:rFonts w:ascii="Arial" w:hAnsi="Arial" w:cs="Arial"/>
          <w:i/>
          <w:iCs/>
          <w:color w:val="363435"/>
          <w:spacing w:val="6"/>
          <w:position w:val="7"/>
          <w:sz w:val="11"/>
          <w:szCs w:val="11"/>
        </w:rPr>
        <w:t xml:space="preserve"> </w:t>
      </w:r>
      <w:r>
        <w:rPr>
          <w:rFonts w:ascii="Arial" w:hAnsi="Arial" w:cs="Arial"/>
          <w:i/>
          <w:iCs/>
          <w:color w:val="363435"/>
          <w:sz w:val="20"/>
          <w:szCs w:val="20"/>
        </w:rPr>
        <w:t xml:space="preserve">Medical School, Faculty of Medicine, Universitas Riau, </w:t>
      </w:r>
      <w:proofErr w:type="spellStart"/>
      <w:r>
        <w:rPr>
          <w:rFonts w:ascii="Arial" w:hAnsi="Arial" w:cs="Arial"/>
          <w:i/>
          <w:iCs/>
          <w:color w:val="363435"/>
          <w:sz w:val="20"/>
          <w:szCs w:val="20"/>
        </w:rPr>
        <w:t>Pekanbaru</w:t>
      </w:r>
      <w:proofErr w:type="spellEnd"/>
      <w:r>
        <w:rPr>
          <w:rFonts w:ascii="Arial" w:hAnsi="Arial" w:cs="Arial"/>
          <w:i/>
          <w:iCs/>
          <w:color w:val="363435"/>
          <w:sz w:val="20"/>
          <w:szCs w:val="20"/>
        </w:rPr>
        <w:t>, Indonesia</w:t>
      </w:r>
    </w:p>
    <w:p w14:paraId="0CFD27F3" w14:textId="77777777" w:rsidR="00C31A18" w:rsidRDefault="00C31A18" w:rsidP="00E344E0">
      <w:pPr>
        <w:widowControl w:val="0"/>
        <w:autoSpaceDE w:val="0"/>
        <w:autoSpaceDN w:val="0"/>
        <w:adjustRightInd w:val="0"/>
        <w:spacing w:after="0" w:line="240" w:lineRule="auto"/>
        <w:ind w:right="32"/>
        <w:jc w:val="center"/>
        <w:rPr>
          <w:rFonts w:ascii="Arial" w:hAnsi="Arial" w:cs="Arial"/>
          <w:color w:val="000000"/>
          <w:sz w:val="11"/>
          <w:szCs w:val="11"/>
        </w:rPr>
      </w:pPr>
    </w:p>
    <w:p w14:paraId="4F46A504" w14:textId="695E5CB8"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p w14:paraId="64180005" w14:textId="77777777" w:rsidR="00CA3C5D" w:rsidRDefault="00CA3C5D" w:rsidP="00EC49FC">
      <w:pPr>
        <w:widowControl w:val="0"/>
        <w:autoSpaceDE w:val="0"/>
        <w:autoSpaceDN w:val="0"/>
        <w:adjustRightInd w:val="0"/>
        <w:spacing w:after="0" w:line="200" w:lineRule="exact"/>
        <w:ind w:right="32"/>
        <w:rPr>
          <w:rFonts w:ascii="Arial" w:hAnsi="Arial" w:cs="Arial"/>
          <w:color w:val="000000"/>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3"/>
        <w:gridCol w:w="3412"/>
      </w:tblGrid>
      <w:tr w:rsidR="00CA3C5D" w:rsidRPr="00CA3C5D" w14:paraId="336C20B7" w14:textId="77777777" w:rsidTr="00CA3C5D">
        <w:tc>
          <w:tcPr>
            <w:tcW w:w="7020" w:type="dxa"/>
          </w:tcPr>
          <w:p w14:paraId="651F3B25" w14:textId="7F6DD3C4" w:rsidR="00CA3C5D" w:rsidRPr="00CA3C5D" w:rsidRDefault="00CA3C5D" w:rsidP="00CA3C5D">
            <w:pPr>
              <w:widowControl w:val="0"/>
              <w:autoSpaceDE w:val="0"/>
              <w:autoSpaceDN w:val="0"/>
              <w:adjustRightInd w:val="0"/>
              <w:spacing w:before="120" w:after="120"/>
              <w:ind w:left="-103" w:right="29"/>
              <w:jc w:val="both"/>
              <w:rPr>
                <w:rFonts w:ascii="Arial" w:hAnsi="Arial" w:cs="Arial"/>
                <w:color w:val="000000"/>
                <w:sz w:val="20"/>
                <w:szCs w:val="20"/>
              </w:rPr>
            </w:pPr>
            <w:r w:rsidRPr="00CA3C5D">
              <w:rPr>
                <w:rFonts w:ascii="Arial" w:hAnsi="Arial" w:cs="Arial"/>
                <w:b/>
                <w:bCs/>
                <w:color w:val="363435"/>
                <w:sz w:val="20"/>
                <w:szCs w:val="20"/>
              </w:rPr>
              <w:t>Abstract</w:t>
            </w:r>
          </w:p>
          <w:p w14:paraId="2D3E625F" w14:textId="1808750F" w:rsidR="00AC42E0" w:rsidRDefault="00D63438" w:rsidP="003761CC">
            <w:pPr>
              <w:widowControl w:val="0"/>
              <w:autoSpaceDE w:val="0"/>
              <w:autoSpaceDN w:val="0"/>
              <w:adjustRightInd w:val="0"/>
              <w:spacing w:after="120"/>
              <w:ind w:left="-103" w:right="29"/>
              <w:jc w:val="both"/>
              <w:rPr>
                <w:rFonts w:ascii="Arial" w:eastAsia="Times New Roman" w:hAnsi="Arial" w:cs="Arial"/>
                <w:sz w:val="18"/>
                <w:szCs w:val="18"/>
              </w:rPr>
            </w:pPr>
            <w:r w:rsidRPr="00D63438">
              <w:rPr>
                <w:rFonts w:ascii="Arial" w:eastAsia="Times New Roman" w:hAnsi="Arial" w:cs="Arial"/>
                <w:sz w:val="18"/>
                <w:szCs w:val="18"/>
              </w:rPr>
              <w:t xml:space="preserve">One type of asthma that is difficult to treat is severe asthma, which is asthma that is uncontrolled even when the patient is taking medication or trigger factors can be treated with the finest therapy but will worsen if high-dose treatment is discontinued. Age, gender, obesity, hypersensitivity, and immunological factors are all directly related to the onset of asthma. A complicated illness, severe asthma has a wide range of clinical symptoms and treatment choices. Chronic airway inflammation and lung tissue </w:t>
            </w:r>
            <w:proofErr w:type="spellStart"/>
            <w:r>
              <w:rPr>
                <w:rFonts w:ascii="Arial" w:eastAsia="Times New Roman" w:hAnsi="Arial" w:cs="Arial"/>
                <w:sz w:val="18"/>
                <w:szCs w:val="18"/>
              </w:rPr>
              <w:t>remodeling</w:t>
            </w:r>
            <w:proofErr w:type="spellEnd"/>
            <w:r w:rsidRPr="00D63438">
              <w:rPr>
                <w:rFonts w:ascii="Arial" w:eastAsia="Times New Roman" w:hAnsi="Arial" w:cs="Arial"/>
                <w:sz w:val="18"/>
                <w:szCs w:val="18"/>
              </w:rPr>
              <w:t xml:space="preserve"> are its defining features</w:t>
            </w:r>
            <w:r>
              <w:rPr>
                <w:rFonts w:ascii="Arial" w:eastAsia="Times New Roman" w:hAnsi="Arial" w:cs="Arial"/>
                <w:sz w:val="18"/>
                <w:szCs w:val="18"/>
              </w:rPr>
              <w:t xml:space="preserve">. </w:t>
            </w:r>
            <w:r w:rsidR="003761CC" w:rsidRPr="003761CC">
              <w:rPr>
                <w:rFonts w:ascii="Arial" w:eastAsia="Times New Roman" w:hAnsi="Arial" w:cs="Arial"/>
                <w:sz w:val="18"/>
                <w:szCs w:val="18"/>
              </w:rPr>
              <w:t xml:space="preserve">This review of the literature aims to describe how mepolizumab works in patients with severe asthma. </w:t>
            </w:r>
            <w:r w:rsidRPr="00D63438">
              <w:rPr>
                <w:rFonts w:ascii="Arial" w:eastAsia="Times New Roman" w:hAnsi="Arial" w:cs="Arial"/>
                <w:sz w:val="18"/>
                <w:szCs w:val="18"/>
              </w:rPr>
              <w:t>Mepolizumab particularly inhibits the IL-5 cytokine from binding to IL-5 receptor subunits through the nanomolar potential, which inhibits IL-5 from binding to receptors on the surface of eosinophils</w:t>
            </w:r>
            <w:r w:rsidR="003761CC" w:rsidRPr="003761CC">
              <w:rPr>
                <w:rFonts w:ascii="Arial" w:eastAsia="Times New Roman" w:hAnsi="Arial" w:cs="Arial"/>
                <w:sz w:val="18"/>
                <w:szCs w:val="18"/>
              </w:rPr>
              <w:t>.</w:t>
            </w:r>
            <w:r w:rsidR="00AC42E0" w:rsidRPr="00AC42E0">
              <w:rPr>
                <w:rFonts w:ascii="Arial" w:eastAsia="Times New Roman" w:hAnsi="Arial" w:cs="Arial"/>
                <w:sz w:val="18"/>
                <w:szCs w:val="18"/>
              </w:rPr>
              <w:t xml:space="preserve"> In contrast to the placebo group, patients on mepolizumab had an average 50% decrease from the baseline Prednisone dosage. With Mepolizumab, the yearly exacerbation rate was 1.44 RR, while it was 2.12 RR with </w:t>
            </w:r>
            <w:r w:rsidRPr="00AC42E0">
              <w:rPr>
                <w:rFonts w:ascii="Arial" w:eastAsia="Times New Roman" w:hAnsi="Arial" w:cs="Arial"/>
                <w:sz w:val="18"/>
                <w:szCs w:val="18"/>
              </w:rPr>
              <w:t>placebo. The</w:t>
            </w:r>
            <w:r w:rsidR="00AC42E0" w:rsidRPr="00AC42E0">
              <w:rPr>
                <w:rFonts w:ascii="Arial" w:eastAsia="Times New Roman" w:hAnsi="Arial" w:cs="Arial"/>
                <w:sz w:val="18"/>
                <w:szCs w:val="18"/>
              </w:rPr>
              <w:t xml:space="preserve"> injection of monoclonal antibodies, such as mepolizumab, as a form of therapy in addition to treating severe eosinophilic asthma is advised by the GINA guideline for 2022. Mepolizumab's method of action blocks IL-5 from binding to receptors on eosinophil surfaces, which lowers eosinophil recruitment, activation, production, growth, and survival as well as eosinophil-mediated inflammation.</w:t>
            </w:r>
          </w:p>
          <w:p w14:paraId="1352A63C" w14:textId="08F4AA85" w:rsidR="00CA3C5D" w:rsidRPr="00CA3C5D" w:rsidRDefault="00CA3C5D" w:rsidP="00CA3C5D">
            <w:pPr>
              <w:widowControl w:val="0"/>
              <w:autoSpaceDE w:val="0"/>
              <w:autoSpaceDN w:val="0"/>
              <w:adjustRightInd w:val="0"/>
              <w:spacing w:after="120"/>
              <w:ind w:left="-103" w:right="29"/>
              <w:rPr>
                <w:rFonts w:ascii="Arial" w:hAnsi="Arial" w:cs="Arial"/>
                <w:color w:val="000000"/>
                <w:sz w:val="12"/>
                <w:szCs w:val="12"/>
              </w:rPr>
            </w:pPr>
            <w:r w:rsidRPr="00CA3C5D">
              <w:rPr>
                <w:rFonts w:ascii="Arial" w:hAnsi="Arial" w:cs="Arial"/>
                <w:b/>
                <w:bCs/>
                <w:color w:val="363435"/>
                <w:position w:val="-1"/>
                <w:sz w:val="16"/>
                <w:szCs w:val="16"/>
              </w:rPr>
              <w:t xml:space="preserve">Keywords: </w:t>
            </w:r>
            <w:r w:rsidR="00F53F8F">
              <w:rPr>
                <w:rFonts w:ascii="Arial" w:hAnsi="Arial" w:cs="Arial"/>
                <w:color w:val="363435"/>
                <w:position w:val="-1"/>
                <w:sz w:val="16"/>
                <w:szCs w:val="16"/>
              </w:rPr>
              <w:t>Eosinophil, Interleukin-5, Mepolizumab, Severe Asthma</w:t>
            </w:r>
          </w:p>
        </w:tc>
        <w:tc>
          <w:tcPr>
            <w:tcW w:w="3015" w:type="dxa"/>
            <w:shd w:val="clear" w:color="auto" w:fill="E8E9FF"/>
          </w:tcPr>
          <w:p w14:paraId="59B93564" w14:textId="77777777" w:rsidR="00CA3C5D" w:rsidRPr="00E344E0" w:rsidRDefault="00CA3C5D" w:rsidP="00CA3C5D">
            <w:pPr>
              <w:spacing w:before="120"/>
              <w:ind w:left="-43" w:right="-72"/>
              <w:jc w:val="right"/>
              <w:rPr>
                <w:rFonts w:ascii="Arial" w:hAnsi="Arial" w:cs="Arial"/>
                <w:b/>
                <w:bCs/>
                <w:sz w:val="18"/>
                <w:szCs w:val="20"/>
                <w:lang w:val="en-US"/>
              </w:rPr>
            </w:pPr>
            <w:r w:rsidRPr="00E344E0">
              <w:rPr>
                <w:rFonts w:ascii="Arial" w:hAnsi="Arial" w:cs="Arial"/>
                <w:b/>
                <w:bCs/>
                <w:sz w:val="18"/>
                <w:szCs w:val="20"/>
                <w:lang w:val="en-US"/>
              </w:rPr>
              <w:t>Corresponding Author:</w:t>
            </w:r>
          </w:p>
          <w:p w14:paraId="31421166" w14:textId="019A5AF7" w:rsidR="00CA3C5D" w:rsidRPr="00E344E0" w:rsidRDefault="0019718A" w:rsidP="00CA3C5D">
            <w:pPr>
              <w:ind w:left="-46" w:right="-70"/>
              <w:jc w:val="right"/>
              <w:rPr>
                <w:rFonts w:ascii="Arial" w:hAnsi="Arial" w:cs="Arial"/>
                <w:sz w:val="18"/>
                <w:szCs w:val="20"/>
                <w:lang w:val="en-US"/>
              </w:rPr>
            </w:pPr>
            <w:proofErr w:type="spellStart"/>
            <w:r>
              <w:rPr>
                <w:rFonts w:ascii="Arial" w:hAnsi="Arial" w:cs="Arial"/>
                <w:i/>
                <w:iCs/>
                <w:sz w:val="18"/>
                <w:szCs w:val="20"/>
                <w:lang w:val="en-US"/>
              </w:rPr>
              <w:t>Atikanur</w:t>
            </w:r>
            <w:proofErr w:type="spellEnd"/>
            <w:r w:rsidR="00CA3C5D" w:rsidRPr="00E344E0">
              <w:rPr>
                <w:rFonts w:ascii="Arial" w:hAnsi="Arial" w:cs="Arial"/>
                <w:sz w:val="18"/>
                <w:szCs w:val="20"/>
                <w:lang w:val="en-US"/>
              </w:rPr>
              <w:t xml:space="preserve"> | </w:t>
            </w:r>
            <w:r w:rsidR="00CA3C5D" w:rsidRPr="00E344E0">
              <w:rPr>
                <w:rFonts w:ascii="Arial" w:hAnsi="Arial" w:cs="Arial"/>
                <w:sz w:val="18"/>
                <w:szCs w:val="20"/>
              </w:rPr>
              <w:t>Department of Pulmonology and Respirat</w:t>
            </w:r>
            <w:r>
              <w:rPr>
                <w:rFonts w:ascii="Arial" w:hAnsi="Arial" w:cs="Arial"/>
                <w:sz w:val="18"/>
                <w:szCs w:val="20"/>
              </w:rPr>
              <w:t>ory</w:t>
            </w:r>
            <w:r w:rsidR="00CA3C5D" w:rsidRPr="00E344E0">
              <w:rPr>
                <w:rFonts w:ascii="Arial" w:hAnsi="Arial" w:cs="Arial"/>
                <w:sz w:val="18"/>
                <w:szCs w:val="20"/>
              </w:rPr>
              <w:t xml:space="preserve"> Medicine, Faculty of Medicine, </w:t>
            </w:r>
            <w:proofErr w:type="spellStart"/>
            <w:r w:rsidR="00CA3C5D" w:rsidRPr="00E344E0">
              <w:rPr>
                <w:rFonts w:ascii="Arial" w:hAnsi="Arial" w:cs="Arial"/>
                <w:sz w:val="18"/>
                <w:szCs w:val="20"/>
              </w:rPr>
              <w:t>Universit</w:t>
            </w:r>
            <w:proofErr w:type="spellEnd"/>
            <w:r w:rsidR="00CA3C5D" w:rsidRPr="00E344E0">
              <w:rPr>
                <w:rFonts w:ascii="Arial" w:hAnsi="Arial" w:cs="Arial"/>
                <w:sz w:val="18"/>
                <w:szCs w:val="20"/>
                <w:lang w:val="en-US"/>
              </w:rPr>
              <w:t>as</w:t>
            </w:r>
            <w:r w:rsidR="00CA3C5D" w:rsidRPr="00E344E0">
              <w:rPr>
                <w:rFonts w:ascii="Arial" w:hAnsi="Arial" w:cs="Arial"/>
                <w:sz w:val="18"/>
                <w:szCs w:val="20"/>
              </w:rPr>
              <w:t xml:space="preserve"> </w:t>
            </w:r>
            <w:r>
              <w:rPr>
                <w:rFonts w:ascii="Arial" w:hAnsi="Arial" w:cs="Arial"/>
                <w:sz w:val="18"/>
                <w:szCs w:val="20"/>
              </w:rPr>
              <w:t>Riau</w:t>
            </w:r>
            <w:r w:rsidR="00CA3C5D" w:rsidRPr="00E344E0">
              <w:rPr>
                <w:rFonts w:ascii="Arial" w:hAnsi="Arial" w:cs="Arial"/>
                <w:sz w:val="18"/>
                <w:szCs w:val="20"/>
                <w:lang w:val="en-US"/>
              </w:rPr>
              <w:t xml:space="preserve">, </w:t>
            </w:r>
            <w:r>
              <w:rPr>
                <w:rFonts w:ascii="Arial" w:hAnsi="Arial" w:cs="Arial"/>
                <w:sz w:val="18"/>
                <w:szCs w:val="20"/>
              </w:rPr>
              <w:t>Arifin Achmad General Hospital</w:t>
            </w:r>
            <w:r w:rsidR="00CA3C5D" w:rsidRPr="00E344E0">
              <w:rPr>
                <w:rFonts w:ascii="Arial" w:hAnsi="Arial" w:cs="Arial"/>
                <w:sz w:val="18"/>
                <w:szCs w:val="20"/>
                <w:lang w:val="en-US"/>
              </w:rPr>
              <w:t xml:space="preserve">, </w:t>
            </w:r>
            <w:proofErr w:type="spellStart"/>
            <w:r>
              <w:rPr>
                <w:rFonts w:ascii="Arial" w:hAnsi="Arial" w:cs="Arial"/>
                <w:sz w:val="18"/>
                <w:szCs w:val="20"/>
                <w:lang w:val="en-US"/>
              </w:rPr>
              <w:t>Pekanbaru</w:t>
            </w:r>
            <w:proofErr w:type="spellEnd"/>
            <w:r w:rsidR="00E344E0">
              <w:rPr>
                <w:rFonts w:ascii="Arial" w:hAnsi="Arial" w:cs="Arial"/>
                <w:sz w:val="18"/>
                <w:szCs w:val="20"/>
                <w:lang w:val="en-US"/>
              </w:rPr>
              <w:t>, Indonesia</w:t>
            </w:r>
            <w:r w:rsidR="00CA3C5D" w:rsidRPr="00E344E0">
              <w:rPr>
                <w:rFonts w:ascii="Arial" w:hAnsi="Arial" w:cs="Arial"/>
                <w:sz w:val="18"/>
                <w:szCs w:val="20"/>
                <w:lang w:val="en-US"/>
              </w:rPr>
              <w:t xml:space="preserve"> | </w:t>
            </w:r>
            <w:r>
              <w:rPr>
                <w:rFonts w:ascii="Arial" w:hAnsi="Arial" w:cs="Arial"/>
                <w:sz w:val="18"/>
                <w:szCs w:val="20"/>
                <w:lang w:val="en-US"/>
              </w:rPr>
              <w:t>atikanur.1987@gmail.com</w:t>
            </w:r>
          </w:p>
          <w:p w14:paraId="4EA24840" w14:textId="77777777" w:rsidR="00CA3C5D" w:rsidRPr="00E344E0" w:rsidRDefault="00CA3C5D" w:rsidP="00CA3C5D">
            <w:pPr>
              <w:ind w:left="-46" w:right="-70"/>
              <w:jc w:val="right"/>
              <w:rPr>
                <w:rStyle w:val="Hyperlink"/>
                <w:rFonts w:ascii="Arial" w:hAnsi="Arial" w:cs="Arial"/>
                <w:b/>
                <w:bCs/>
                <w:iCs/>
                <w:color w:val="auto"/>
                <w:sz w:val="18"/>
                <w:szCs w:val="20"/>
              </w:rPr>
            </w:pPr>
          </w:p>
          <w:p w14:paraId="42BAA30E" w14:textId="77777777" w:rsidR="00CA3C5D" w:rsidRPr="00E344E0" w:rsidRDefault="00CA3C5D" w:rsidP="00CA3C5D">
            <w:pPr>
              <w:ind w:left="-46" w:right="-70"/>
              <w:jc w:val="right"/>
              <w:rPr>
                <w:rStyle w:val="Hyperlink"/>
                <w:rFonts w:ascii="Arial" w:hAnsi="Arial" w:cs="Arial"/>
                <w:iCs/>
                <w:color w:val="auto"/>
                <w:sz w:val="18"/>
                <w:szCs w:val="20"/>
                <w:u w:val="none"/>
              </w:rPr>
            </w:pPr>
            <w:r w:rsidRPr="00E344E0">
              <w:rPr>
                <w:rStyle w:val="Hyperlink"/>
                <w:rFonts w:ascii="Arial" w:hAnsi="Arial" w:cs="Arial"/>
                <w:b/>
                <w:bCs/>
                <w:iCs/>
                <w:color w:val="auto"/>
                <w:sz w:val="18"/>
                <w:szCs w:val="20"/>
                <w:u w:val="none"/>
              </w:rPr>
              <w:t>Submitted:</w:t>
            </w:r>
            <w:r w:rsidRPr="00E344E0">
              <w:rPr>
                <w:rStyle w:val="Hyperlink"/>
                <w:rFonts w:ascii="Arial" w:hAnsi="Arial" w:cs="Arial"/>
                <w:iCs/>
                <w:color w:val="auto"/>
                <w:sz w:val="18"/>
                <w:szCs w:val="20"/>
                <w:u w:val="none"/>
              </w:rPr>
              <w:t xml:space="preserve"> February 14</w:t>
            </w:r>
            <w:r w:rsidRPr="00E344E0">
              <w:rPr>
                <w:rStyle w:val="Hyperlink"/>
                <w:rFonts w:ascii="Arial" w:hAnsi="Arial" w:cs="Arial"/>
                <w:iCs/>
                <w:color w:val="auto"/>
                <w:sz w:val="18"/>
                <w:szCs w:val="20"/>
                <w:u w:val="none"/>
                <w:vertAlign w:val="superscript"/>
              </w:rPr>
              <w:t>th</w:t>
            </w:r>
            <w:r w:rsidRPr="00E344E0">
              <w:rPr>
                <w:rStyle w:val="Hyperlink"/>
                <w:rFonts w:ascii="Arial" w:hAnsi="Arial" w:cs="Arial"/>
                <w:iCs/>
                <w:color w:val="auto"/>
                <w:sz w:val="18"/>
                <w:szCs w:val="20"/>
                <w:u w:val="none"/>
              </w:rPr>
              <w:t>, 2021</w:t>
            </w:r>
          </w:p>
          <w:p w14:paraId="0D0E27D5" w14:textId="77777777" w:rsidR="00CA3C5D" w:rsidRPr="00E344E0" w:rsidRDefault="00CA3C5D" w:rsidP="00CA3C5D">
            <w:pPr>
              <w:ind w:left="-46" w:right="-70"/>
              <w:jc w:val="right"/>
              <w:rPr>
                <w:rStyle w:val="Hyperlink"/>
                <w:rFonts w:ascii="Arial" w:hAnsi="Arial" w:cs="Arial"/>
                <w:iCs/>
                <w:color w:val="auto"/>
                <w:sz w:val="18"/>
                <w:szCs w:val="20"/>
                <w:u w:val="none"/>
              </w:rPr>
            </w:pPr>
            <w:r w:rsidRPr="00E344E0">
              <w:rPr>
                <w:rStyle w:val="Hyperlink"/>
                <w:rFonts w:ascii="Arial" w:hAnsi="Arial" w:cs="Arial"/>
                <w:b/>
                <w:bCs/>
                <w:iCs/>
                <w:color w:val="auto"/>
                <w:sz w:val="18"/>
                <w:szCs w:val="20"/>
                <w:u w:val="none"/>
              </w:rPr>
              <w:t>Accepted:</w:t>
            </w:r>
            <w:r w:rsidRPr="00E344E0">
              <w:rPr>
                <w:rStyle w:val="Hyperlink"/>
                <w:rFonts w:ascii="Arial" w:hAnsi="Arial" w:cs="Arial"/>
                <w:iCs/>
                <w:color w:val="auto"/>
                <w:sz w:val="18"/>
                <w:szCs w:val="20"/>
                <w:u w:val="none"/>
              </w:rPr>
              <w:t xml:space="preserve"> February 27</w:t>
            </w:r>
            <w:r w:rsidRPr="00E344E0">
              <w:rPr>
                <w:rStyle w:val="Hyperlink"/>
                <w:rFonts w:ascii="Arial" w:hAnsi="Arial" w:cs="Arial"/>
                <w:iCs/>
                <w:color w:val="auto"/>
                <w:sz w:val="18"/>
                <w:szCs w:val="20"/>
                <w:u w:val="none"/>
                <w:vertAlign w:val="superscript"/>
              </w:rPr>
              <w:t>h</w:t>
            </w:r>
            <w:r w:rsidRPr="00E344E0">
              <w:rPr>
                <w:rStyle w:val="Hyperlink"/>
                <w:rFonts w:ascii="Arial" w:hAnsi="Arial" w:cs="Arial"/>
                <w:iCs/>
                <w:color w:val="auto"/>
                <w:sz w:val="18"/>
                <w:szCs w:val="20"/>
                <w:u w:val="none"/>
              </w:rPr>
              <w:t>, 2021</w:t>
            </w:r>
          </w:p>
          <w:p w14:paraId="731ABE63" w14:textId="77777777" w:rsidR="00CA3C5D" w:rsidRPr="00E344E0" w:rsidRDefault="00CA3C5D" w:rsidP="00CA3C5D">
            <w:pPr>
              <w:ind w:left="-46" w:right="-70"/>
              <w:jc w:val="right"/>
              <w:rPr>
                <w:rStyle w:val="Hyperlink"/>
                <w:rFonts w:ascii="Arial" w:hAnsi="Arial" w:cs="Arial"/>
                <w:iCs/>
                <w:color w:val="auto"/>
                <w:sz w:val="18"/>
                <w:szCs w:val="20"/>
                <w:u w:val="none"/>
              </w:rPr>
            </w:pPr>
            <w:r w:rsidRPr="00E344E0">
              <w:rPr>
                <w:rStyle w:val="Hyperlink"/>
                <w:rFonts w:ascii="Arial" w:hAnsi="Arial" w:cs="Arial"/>
                <w:b/>
                <w:bCs/>
                <w:iCs/>
                <w:color w:val="auto"/>
                <w:sz w:val="18"/>
                <w:szCs w:val="20"/>
                <w:u w:val="none"/>
              </w:rPr>
              <w:t>Published:</w:t>
            </w:r>
            <w:r w:rsidRPr="00E344E0">
              <w:rPr>
                <w:rStyle w:val="Hyperlink"/>
                <w:rFonts w:ascii="Arial" w:hAnsi="Arial" w:cs="Arial"/>
                <w:iCs/>
                <w:color w:val="auto"/>
                <w:sz w:val="18"/>
                <w:szCs w:val="20"/>
                <w:u w:val="none"/>
              </w:rPr>
              <w:t xml:space="preserve"> February 28</w:t>
            </w:r>
            <w:r w:rsidRPr="00E344E0">
              <w:rPr>
                <w:rStyle w:val="Hyperlink"/>
                <w:rFonts w:ascii="Arial" w:hAnsi="Arial" w:cs="Arial"/>
                <w:iCs/>
                <w:color w:val="auto"/>
                <w:sz w:val="18"/>
                <w:szCs w:val="20"/>
                <w:u w:val="none"/>
                <w:vertAlign w:val="superscript"/>
              </w:rPr>
              <w:t>th</w:t>
            </w:r>
            <w:r w:rsidRPr="00E344E0">
              <w:rPr>
                <w:rStyle w:val="Hyperlink"/>
                <w:rFonts w:ascii="Arial" w:hAnsi="Arial" w:cs="Arial"/>
                <w:iCs/>
                <w:color w:val="auto"/>
                <w:sz w:val="18"/>
                <w:szCs w:val="20"/>
                <w:u w:val="none"/>
              </w:rPr>
              <w:t>, 2021</w:t>
            </w:r>
          </w:p>
          <w:p w14:paraId="6406DC04" w14:textId="77777777" w:rsidR="00CA3C5D" w:rsidRPr="00E344E0" w:rsidRDefault="00CA3C5D" w:rsidP="00CA3C5D">
            <w:pPr>
              <w:ind w:left="-46" w:right="-70"/>
              <w:jc w:val="right"/>
              <w:rPr>
                <w:rFonts w:ascii="Arial" w:hAnsi="Arial" w:cs="Arial"/>
                <w:iCs/>
                <w:sz w:val="18"/>
                <w:szCs w:val="20"/>
                <w:lang w:val="en-US"/>
              </w:rPr>
            </w:pPr>
          </w:p>
          <w:p w14:paraId="76336FA0" w14:textId="77777777" w:rsidR="00CA3C5D" w:rsidRPr="00E344E0" w:rsidRDefault="00CA3C5D" w:rsidP="00CA3C5D">
            <w:pPr>
              <w:ind w:left="-46" w:right="-70"/>
              <w:jc w:val="right"/>
              <w:rPr>
                <w:rFonts w:ascii="Arial" w:hAnsi="Arial" w:cs="Arial"/>
                <w:iCs/>
                <w:sz w:val="18"/>
                <w:szCs w:val="20"/>
                <w:lang w:val="en-US"/>
              </w:rPr>
            </w:pPr>
          </w:p>
          <w:p w14:paraId="6777209E" w14:textId="77777777" w:rsidR="00CA3C5D" w:rsidRPr="00E344E0" w:rsidRDefault="00CA3C5D" w:rsidP="00CA3C5D">
            <w:pPr>
              <w:ind w:left="-46" w:right="-70"/>
              <w:jc w:val="right"/>
              <w:rPr>
                <w:rFonts w:ascii="Arial" w:hAnsi="Arial" w:cs="Arial"/>
                <w:b/>
                <w:bCs/>
                <w:iCs/>
                <w:sz w:val="18"/>
                <w:szCs w:val="20"/>
                <w:lang w:val="en-US"/>
              </w:rPr>
            </w:pPr>
            <w:r w:rsidRPr="00E344E0">
              <w:rPr>
                <w:rFonts w:ascii="Arial" w:hAnsi="Arial" w:cs="Arial"/>
                <w:b/>
                <w:bCs/>
                <w:iCs/>
                <w:sz w:val="18"/>
                <w:szCs w:val="20"/>
                <w:lang w:val="en-US"/>
              </w:rPr>
              <w:t xml:space="preserve">J </w:t>
            </w:r>
            <w:proofErr w:type="spellStart"/>
            <w:r w:rsidRPr="00E344E0">
              <w:rPr>
                <w:rFonts w:ascii="Arial" w:hAnsi="Arial" w:cs="Arial"/>
                <w:b/>
                <w:bCs/>
                <w:iCs/>
                <w:sz w:val="18"/>
                <w:szCs w:val="20"/>
                <w:lang w:val="en-US"/>
              </w:rPr>
              <w:t>Respirol</w:t>
            </w:r>
            <w:proofErr w:type="spellEnd"/>
            <w:r w:rsidRPr="00E344E0">
              <w:rPr>
                <w:rFonts w:ascii="Arial" w:hAnsi="Arial" w:cs="Arial"/>
                <w:b/>
                <w:bCs/>
                <w:iCs/>
                <w:sz w:val="18"/>
                <w:szCs w:val="20"/>
                <w:lang w:val="en-US"/>
              </w:rPr>
              <w:t xml:space="preserve"> </w:t>
            </w:r>
            <w:proofErr w:type="spellStart"/>
            <w:r w:rsidRPr="00E344E0">
              <w:rPr>
                <w:rFonts w:ascii="Arial" w:hAnsi="Arial" w:cs="Arial"/>
                <w:b/>
                <w:bCs/>
                <w:iCs/>
                <w:sz w:val="18"/>
                <w:szCs w:val="20"/>
                <w:lang w:val="en-US"/>
              </w:rPr>
              <w:t>Indones</w:t>
            </w:r>
            <w:proofErr w:type="spellEnd"/>
            <w:r w:rsidRPr="00E344E0">
              <w:rPr>
                <w:rFonts w:ascii="Arial" w:hAnsi="Arial" w:cs="Arial"/>
                <w:b/>
                <w:bCs/>
                <w:iCs/>
                <w:sz w:val="18"/>
                <w:szCs w:val="20"/>
                <w:lang w:val="en-US"/>
              </w:rPr>
              <w:t>. 2021</w:t>
            </w:r>
          </w:p>
          <w:p w14:paraId="2E4E35BA" w14:textId="0AB54726" w:rsidR="00CA3C5D" w:rsidRPr="00E344E0" w:rsidRDefault="00CA3C5D" w:rsidP="00CA3C5D">
            <w:pPr>
              <w:ind w:left="-46" w:right="-70"/>
              <w:jc w:val="right"/>
              <w:rPr>
                <w:rFonts w:ascii="Arial" w:hAnsi="Arial" w:cs="Arial"/>
                <w:b/>
                <w:bCs/>
                <w:iCs/>
                <w:sz w:val="18"/>
                <w:szCs w:val="20"/>
                <w:lang w:val="en-US"/>
              </w:rPr>
            </w:pPr>
            <w:r w:rsidRPr="00E344E0">
              <w:rPr>
                <w:rFonts w:ascii="Arial" w:hAnsi="Arial" w:cs="Arial"/>
                <w:b/>
                <w:bCs/>
                <w:iCs/>
                <w:sz w:val="18"/>
                <w:szCs w:val="20"/>
                <w:lang w:val="en-US"/>
              </w:rPr>
              <w:t>Vol. 1 No. 2: 150-160</w:t>
            </w:r>
          </w:p>
          <w:p w14:paraId="096FE9EE" w14:textId="77777777" w:rsidR="00CA3C5D" w:rsidRPr="00CA3C5D" w:rsidRDefault="00000000" w:rsidP="00CA3C5D">
            <w:pPr>
              <w:ind w:left="-46" w:right="-70"/>
              <w:jc w:val="right"/>
              <w:rPr>
                <w:rFonts w:ascii="Tahoma" w:hAnsi="Tahoma" w:cs="Tahoma"/>
                <w:iCs/>
                <w:sz w:val="18"/>
                <w:szCs w:val="20"/>
                <w:lang w:val="en-US"/>
              </w:rPr>
            </w:pPr>
            <w:hyperlink r:id="rId16" w:history="1">
              <w:r w:rsidR="00CA3C5D" w:rsidRPr="00E344E0">
                <w:rPr>
                  <w:rStyle w:val="Hyperlink"/>
                  <w:rFonts w:ascii="Arial" w:hAnsi="Arial" w:cs="Arial"/>
                  <w:color w:val="auto"/>
                  <w:sz w:val="18"/>
                  <w:szCs w:val="20"/>
                </w:rPr>
                <w:t>https://doi.org/10.36497/respirsci.v1i2.20</w:t>
              </w:r>
            </w:hyperlink>
          </w:p>
          <w:p w14:paraId="07696238" w14:textId="6EFCA9E9" w:rsidR="00CA3C5D" w:rsidRDefault="001A3AE6" w:rsidP="00EC49FC">
            <w:pPr>
              <w:widowControl w:val="0"/>
              <w:autoSpaceDE w:val="0"/>
              <w:autoSpaceDN w:val="0"/>
              <w:adjustRightInd w:val="0"/>
              <w:spacing w:line="200" w:lineRule="exact"/>
              <w:ind w:right="32"/>
              <w:rPr>
                <w:rFonts w:ascii="Arial" w:hAnsi="Arial" w:cs="Arial"/>
                <w:sz w:val="20"/>
                <w:szCs w:val="20"/>
              </w:rPr>
            </w:pPr>
            <w:r>
              <w:rPr>
                <w:rFonts w:ascii="Arial" w:hAnsi="Arial" w:cs="Arial"/>
                <w:sz w:val="20"/>
                <w:szCs w:val="20"/>
              </w:rPr>
              <w:t xml:space="preserve"> </w:t>
            </w:r>
          </w:p>
          <w:p w14:paraId="64BFF6CE" w14:textId="73DDDEC2" w:rsidR="001A3AE6" w:rsidRPr="00CA3C5D" w:rsidRDefault="001A3AE6" w:rsidP="001A3AE6">
            <w:pPr>
              <w:widowControl w:val="0"/>
              <w:autoSpaceDE w:val="0"/>
              <w:autoSpaceDN w:val="0"/>
              <w:adjustRightInd w:val="0"/>
              <w:spacing w:line="200" w:lineRule="exact"/>
              <w:ind w:right="32"/>
              <w:jc w:val="right"/>
              <w:rPr>
                <w:rFonts w:ascii="Arial" w:hAnsi="Arial" w:cs="Arial"/>
                <w:sz w:val="20"/>
                <w:szCs w:val="20"/>
              </w:rPr>
            </w:pPr>
          </w:p>
        </w:tc>
      </w:tr>
    </w:tbl>
    <w:p w14:paraId="1A3EAC67" w14:textId="75487EA0" w:rsidR="00CA3C5D" w:rsidRDefault="00CA3C5D">
      <w:pPr>
        <w:rPr>
          <w:rFonts w:ascii="Arial" w:hAnsi="Arial" w:cs="Arial"/>
          <w:b/>
          <w:bCs/>
          <w:color w:val="363435"/>
          <w:sz w:val="20"/>
          <w:szCs w:val="20"/>
        </w:rPr>
        <w:sectPr w:rsidR="00CA3C5D" w:rsidSect="00CA3C5D">
          <w:type w:val="continuous"/>
          <w:pgSz w:w="11906" w:h="16838" w:code="9"/>
          <w:pgMar w:top="1418" w:right="907" w:bottom="868" w:left="964" w:header="709" w:footer="709" w:gutter="0"/>
          <w:cols w:space="708"/>
          <w:titlePg/>
          <w:docGrid w:linePitch="360"/>
        </w:sectPr>
      </w:pPr>
    </w:p>
    <w:p w14:paraId="743ED1F7" w14:textId="0106995C" w:rsidR="00D56510" w:rsidRPr="00AC42E0" w:rsidRDefault="00CA3C5D" w:rsidP="00AC42E0">
      <w:pPr>
        <w:widowControl w:val="0"/>
        <w:autoSpaceDE w:val="0"/>
        <w:autoSpaceDN w:val="0"/>
        <w:adjustRightInd w:val="0"/>
        <w:spacing w:after="0" w:line="28" w:lineRule="atLeast"/>
        <w:ind w:right="32"/>
        <w:jc w:val="both"/>
        <w:rPr>
          <w:rFonts w:ascii="Arial" w:hAnsi="Arial" w:cs="Arial"/>
          <w:color w:val="000000"/>
          <w:sz w:val="20"/>
          <w:szCs w:val="20"/>
          <w:lang w:val="id-ID"/>
        </w:rPr>
      </w:pPr>
      <w:r w:rsidRPr="00AC42E0">
        <w:rPr>
          <w:rFonts w:ascii="Arial" w:hAnsi="Arial" w:cs="Arial"/>
          <w:b/>
          <w:bCs/>
          <w:color w:val="363435"/>
          <w:sz w:val="20"/>
          <w:szCs w:val="20"/>
        </w:rPr>
        <w:t>INTRODUCTION</w:t>
      </w:r>
      <w:r w:rsidR="00D56510" w:rsidRPr="00AC42E0">
        <w:rPr>
          <w:rFonts w:ascii="Arial" w:hAnsi="Arial" w:cs="Arial"/>
          <w:b/>
          <w:bCs/>
          <w:color w:val="363435"/>
          <w:sz w:val="20"/>
          <w:szCs w:val="20"/>
        </w:rPr>
        <w:t xml:space="preserve"> </w:t>
      </w:r>
    </w:p>
    <w:p w14:paraId="2909DAFC" w14:textId="77777777" w:rsidR="00D56510" w:rsidRPr="00AC42E0" w:rsidRDefault="00D56510" w:rsidP="00AC42E0">
      <w:pPr>
        <w:widowControl w:val="0"/>
        <w:autoSpaceDE w:val="0"/>
        <w:autoSpaceDN w:val="0"/>
        <w:adjustRightInd w:val="0"/>
        <w:spacing w:after="0" w:line="28" w:lineRule="atLeast"/>
        <w:ind w:right="32" w:firstLine="720"/>
        <w:jc w:val="both"/>
        <w:rPr>
          <w:rFonts w:ascii="Arial" w:hAnsi="Arial" w:cs="Arial"/>
          <w:color w:val="000000"/>
          <w:sz w:val="20"/>
          <w:szCs w:val="20"/>
        </w:rPr>
      </w:pPr>
    </w:p>
    <w:p w14:paraId="10CA74B8" w14:textId="77777777" w:rsidR="00AC42E0" w:rsidRPr="00AC42E0" w:rsidRDefault="00AC42E0" w:rsidP="00AC42E0">
      <w:pPr>
        <w:spacing w:after="0" w:line="28" w:lineRule="atLeast"/>
        <w:ind w:firstLine="720"/>
        <w:jc w:val="both"/>
        <w:rPr>
          <w:rFonts w:ascii="Arial" w:hAnsi="Arial" w:cs="Arial"/>
          <w:sz w:val="20"/>
          <w:szCs w:val="20"/>
        </w:rPr>
      </w:pPr>
      <w:r w:rsidRPr="00AC42E0">
        <w:rPr>
          <w:rFonts w:ascii="Arial" w:hAnsi="Arial" w:cs="Arial"/>
          <w:sz w:val="20"/>
          <w:szCs w:val="20"/>
        </w:rPr>
        <w:t>One form of difficult-to-treat asthma is severe asthma, which is asthma that is uncontrolled even when the patient is taking medication or trigger factors can be managed with the best therapy but will go worse if high-dose treatment is stopped.</w:t>
      </w:r>
      <w:r w:rsidRPr="00AC42E0">
        <w:rPr>
          <w:rFonts w:ascii="Arial" w:hAnsi="Arial" w:cs="Arial"/>
          <w:sz w:val="20"/>
          <w:szCs w:val="20"/>
          <w:vertAlign w:val="superscript"/>
        </w:rPr>
        <w:t>1,2</w:t>
      </w:r>
      <w:r w:rsidRPr="00AC42E0">
        <w:rPr>
          <w:rFonts w:ascii="Arial" w:hAnsi="Arial" w:cs="Arial"/>
          <w:sz w:val="20"/>
          <w:szCs w:val="20"/>
        </w:rPr>
        <w:t xml:space="preserve"> Severe asthma, which is related to higher mortality, morbidity, persistent daily symptoms, hospitalization, and health care cost issues, as well as lower patient quality of life, affects </w:t>
      </w:r>
      <w:proofErr w:type="spellStart"/>
      <w:r w:rsidRPr="00AC42E0">
        <w:rPr>
          <w:rFonts w:ascii="Arial" w:hAnsi="Arial" w:cs="Arial"/>
          <w:sz w:val="20"/>
          <w:szCs w:val="20"/>
        </w:rPr>
        <w:t>fice</w:t>
      </w:r>
      <w:proofErr w:type="spellEnd"/>
      <w:r w:rsidRPr="00AC42E0">
        <w:rPr>
          <w:rFonts w:ascii="Arial" w:hAnsi="Arial" w:cs="Arial"/>
          <w:sz w:val="20"/>
          <w:szCs w:val="20"/>
        </w:rPr>
        <w:t xml:space="preserve"> to ten percent of all asthma patients.</w:t>
      </w:r>
      <w:r w:rsidRPr="00AC42E0">
        <w:rPr>
          <w:rFonts w:ascii="Arial" w:hAnsi="Arial" w:cs="Arial"/>
          <w:sz w:val="20"/>
          <w:szCs w:val="20"/>
          <w:vertAlign w:val="superscript"/>
        </w:rPr>
        <w:t>3,4</w:t>
      </w:r>
      <w:r w:rsidRPr="00AC42E0">
        <w:rPr>
          <w:rFonts w:ascii="Arial" w:hAnsi="Arial" w:cs="Arial"/>
          <w:sz w:val="20"/>
          <w:szCs w:val="20"/>
        </w:rPr>
        <w:t xml:space="preserve"> Treatment costs for those with severe asthma are sic times higher than those for people with mild and moderate asthma.</w:t>
      </w:r>
      <w:r w:rsidRPr="00AC42E0">
        <w:rPr>
          <w:rFonts w:ascii="Arial" w:hAnsi="Arial" w:cs="Arial"/>
          <w:sz w:val="20"/>
          <w:szCs w:val="20"/>
          <w:vertAlign w:val="superscript"/>
        </w:rPr>
        <w:t>5</w:t>
      </w:r>
    </w:p>
    <w:p w14:paraId="41EC7423" w14:textId="77777777" w:rsidR="00AC42E0" w:rsidRPr="00AC42E0" w:rsidRDefault="00AC42E0" w:rsidP="00AC42E0">
      <w:pPr>
        <w:spacing w:after="0" w:line="28" w:lineRule="atLeast"/>
        <w:ind w:firstLine="720"/>
        <w:jc w:val="both"/>
        <w:rPr>
          <w:rFonts w:ascii="Arial" w:hAnsi="Arial" w:cs="Arial"/>
          <w:sz w:val="20"/>
          <w:szCs w:val="20"/>
        </w:rPr>
      </w:pPr>
      <w:r w:rsidRPr="00AC42E0">
        <w:rPr>
          <w:rFonts w:ascii="Arial" w:hAnsi="Arial" w:cs="Arial"/>
          <w:sz w:val="20"/>
          <w:szCs w:val="20"/>
        </w:rPr>
        <w:t xml:space="preserve">Age, gender, obesity, hypersensitivity, and immunological variables all have a direct impact on asthma </w:t>
      </w:r>
      <w:proofErr w:type="spellStart"/>
      <w:r w:rsidRPr="00AC42E0">
        <w:rPr>
          <w:rFonts w:ascii="Arial" w:hAnsi="Arial" w:cs="Arial"/>
          <w:sz w:val="20"/>
          <w:szCs w:val="20"/>
        </w:rPr>
        <w:t>development.In</w:t>
      </w:r>
      <w:proofErr w:type="spellEnd"/>
      <w:r w:rsidRPr="00AC42E0">
        <w:rPr>
          <w:rFonts w:ascii="Arial" w:hAnsi="Arial" w:cs="Arial"/>
          <w:sz w:val="20"/>
          <w:szCs w:val="20"/>
        </w:rPr>
        <w:t xml:space="preserve"> 80% of kids over the age of 6, atopy is a risk factor for developing asthma</w:t>
      </w:r>
      <w:r w:rsidRPr="00AC42E0">
        <w:rPr>
          <w:rFonts w:ascii="Arial" w:hAnsi="Arial" w:cs="Arial"/>
          <w:sz w:val="20"/>
          <w:szCs w:val="20"/>
          <w:vertAlign w:val="superscript"/>
        </w:rPr>
        <w:t>1,5,6</w:t>
      </w:r>
      <w:r w:rsidRPr="00AC42E0">
        <w:rPr>
          <w:rFonts w:ascii="Arial" w:hAnsi="Arial" w:cs="Arial"/>
          <w:sz w:val="20"/>
          <w:szCs w:val="20"/>
        </w:rPr>
        <w:t xml:space="preserve"> According to research conducted in the Netherlands on asthma patients over the age of 18, 24% are receiving therapy according to steps four and five of the Global Initiative for Asthma (GINA) management recommendations. The group of people with difficult-</w:t>
      </w:r>
      <w:r w:rsidRPr="00AC42E0">
        <w:rPr>
          <w:rFonts w:ascii="Arial" w:hAnsi="Arial" w:cs="Arial"/>
          <w:sz w:val="20"/>
          <w:szCs w:val="20"/>
        </w:rPr>
        <w:t>to-treat asthma makes up 17% of the population, while the group of people with severe asthma makes up 7,7% of the 17%.</w:t>
      </w:r>
      <w:r w:rsidRPr="00AC42E0">
        <w:rPr>
          <w:rFonts w:ascii="Arial" w:hAnsi="Arial" w:cs="Arial"/>
          <w:sz w:val="20"/>
          <w:szCs w:val="20"/>
          <w:vertAlign w:val="superscript"/>
        </w:rPr>
        <w:t>1,7</w:t>
      </w:r>
      <w:r w:rsidRPr="00AC42E0">
        <w:rPr>
          <w:rFonts w:ascii="Arial" w:hAnsi="Arial" w:cs="Arial"/>
          <w:sz w:val="20"/>
          <w:szCs w:val="20"/>
        </w:rPr>
        <w:t xml:space="preserve"> Chronic airway inflammation and lung tissue </w:t>
      </w:r>
      <w:proofErr w:type="spellStart"/>
      <w:r w:rsidRPr="00AC42E0">
        <w:rPr>
          <w:rFonts w:ascii="Arial" w:hAnsi="Arial" w:cs="Arial"/>
          <w:sz w:val="20"/>
          <w:szCs w:val="20"/>
        </w:rPr>
        <w:t>remodeling</w:t>
      </w:r>
      <w:proofErr w:type="spellEnd"/>
      <w:r w:rsidRPr="00AC42E0">
        <w:rPr>
          <w:rFonts w:ascii="Arial" w:hAnsi="Arial" w:cs="Arial"/>
          <w:sz w:val="20"/>
          <w:szCs w:val="20"/>
        </w:rPr>
        <w:t xml:space="preserve"> characterize the diverse illness known as severe asthma, which has a range of clinical symptoms and therapeutic responses.</w:t>
      </w:r>
      <w:r w:rsidRPr="00AC42E0">
        <w:rPr>
          <w:rFonts w:ascii="Arial" w:hAnsi="Arial" w:cs="Arial"/>
          <w:sz w:val="20"/>
          <w:szCs w:val="20"/>
          <w:vertAlign w:val="superscript"/>
        </w:rPr>
        <w:t>5,8</w:t>
      </w:r>
    </w:p>
    <w:p w14:paraId="27302C85" w14:textId="77777777" w:rsidR="00AC42E0" w:rsidRPr="00AC42E0" w:rsidRDefault="00AC42E0" w:rsidP="00AC42E0">
      <w:pPr>
        <w:spacing w:after="0" w:line="28" w:lineRule="atLeast"/>
        <w:ind w:firstLine="720"/>
        <w:jc w:val="both"/>
        <w:rPr>
          <w:rFonts w:ascii="Arial" w:hAnsi="Arial" w:cs="Arial"/>
          <w:sz w:val="20"/>
          <w:szCs w:val="20"/>
        </w:rPr>
      </w:pPr>
      <w:r w:rsidRPr="00AC42E0">
        <w:rPr>
          <w:rFonts w:ascii="Arial" w:hAnsi="Arial" w:cs="Arial"/>
          <w:sz w:val="20"/>
          <w:szCs w:val="20"/>
        </w:rPr>
        <w:t xml:space="preserve">Mepolizumab significantly reduced the frequency of exacerbations, the use of oral corticosteroids (OCS), hospitalization, and emergency room visits in Shabbir </w:t>
      </w:r>
      <w:r w:rsidRPr="00AC42E0">
        <w:rPr>
          <w:rFonts w:ascii="Arial" w:hAnsi="Arial" w:cs="Arial"/>
          <w:i/>
          <w:iCs/>
          <w:sz w:val="20"/>
          <w:szCs w:val="20"/>
        </w:rPr>
        <w:t xml:space="preserve">et </w:t>
      </w:r>
      <w:proofErr w:type="spellStart"/>
      <w:r w:rsidRPr="00AC42E0">
        <w:rPr>
          <w:rFonts w:ascii="Arial" w:hAnsi="Arial" w:cs="Arial"/>
          <w:i/>
          <w:iCs/>
          <w:sz w:val="20"/>
          <w:szCs w:val="20"/>
        </w:rPr>
        <w:t>al</w:t>
      </w:r>
      <w:r w:rsidRPr="00AC42E0">
        <w:rPr>
          <w:rFonts w:ascii="Arial" w:hAnsi="Arial" w:cs="Arial"/>
          <w:sz w:val="20"/>
          <w:szCs w:val="20"/>
        </w:rPr>
        <w:t>’s</w:t>
      </w:r>
      <w:proofErr w:type="spellEnd"/>
      <w:r w:rsidRPr="00AC42E0">
        <w:rPr>
          <w:rFonts w:ascii="Arial" w:hAnsi="Arial" w:cs="Arial"/>
          <w:sz w:val="20"/>
          <w:szCs w:val="20"/>
        </w:rPr>
        <w:t xml:space="preserve"> study of the drug as an adjunctive therapy for severe eosinophilic asthma when compared to placebo.</w:t>
      </w:r>
      <w:r w:rsidRPr="00AC42E0">
        <w:rPr>
          <w:rFonts w:ascii="Arial" w:hAnsi="Arial" w:cs="Arial"/>
          <w:sz w:val="20"/>
          <w:szCs w:val="20"/>
          <w:vertAlign w:val="superscript"/>
        </w:rPr>
        <w:t>10,11</w:t>
      </w:r>
      <w:r w:rsidRPr="00AC42E0">
        <w:rPr>
          <w:rFonts w:ascii="Arial" w:hAnsi="Arial" w:cs="Arial"/>
          <w:sz w:val="20"/>
          <w:szCs w:val="20"/>
        </w:rPr>
        <w:t xml:space="preserve"> For selecting the appropriate target group and predicting biomarkers as an indication for administering mepolizumab in the therapy of severe asthma, knowledge of the pathobiology of asthma is helpful.</w:t>
      </w:r>
      <w:r w:rsidRPr="00AC42E0">
        <w:rPr>
          <w:rFonts w:ascii="Arial" w:hAnsi="Arial" w:cs="Arial"/>
          <w:sz w:val="20"/>
          <w:szCs w:val="20"/>
          <w:vertAlign w:val="superscript"/>
        </w:rPr>
        <w:t>12</w:t>
      </w:r>
      <w:r w:rsidRPr="00AC42E0">
        <w:rPr>
          <w:rFonts w:ascii="Arial" w:hAnsi="Arial" w:cs="Arial"/>
          <w:sz w:val="20"/>
          <w:szCs w:val="20"/>
        </w:rPr>
        <w:t xml:space="preserve"> This literature review’s objective is to describe mepolizumab’s function in treating individuals with severe asthma.</w:t>
      </w:r>
    </w:p>
    <w:p w14:paraId="16F6432F" w14:textId="77777777" w:rsidR="00A80A3E" w:rsidRPr="00AC42E0" w:rsidRDefault="00A80A3E" w:rsidP="00AC42E0">
      <w:pPr>
        <w:widowControl w:val="0"/>
        <w:autoSpaceDE w:val="0"/>
        <w:autoSpaceDN w:val="0"/>
        <w:adjustRightInd w:val="0"/>
        <w:spacing w:after="0" w:line="28" w:lineRule="atLeast"/>
        <w:ind w:right="32" w:firstLine="720"/>
        <w:jc w:val="both"/>
        <w:rPr>
          <w:rFonts w:ascii="Arial" w:hAnsi="Arial" w:cs="Arial"/>
          <w:bCs/>
          <w:color w:val="363435"/>
          <w:sz w:val="20"/>
          <w:szCs w:val="20"/>
        </w:rPr>
      </w:pPr>
    </w:p>
    <w:p w14:paraId="3FA9EC3B" w14:textId="77777777" w:rsidR="0019718A" w:rsidRPr="00AC42E0" w:rsidRDefault="0019718A" w:rsidP="00AC42E0">
      <w:pPr>
        <w:spacing w:after="0" w:line="28" w:lineRule="atLeast"/>
        <w:jc w:val="both"/>
        <w:rPr>
          <w:rFonts w:ascii="Arial" w:hAnsi="Arial" w:cs="Arial"/>
          <w:b/>
          <w:sz w:val="20"/>
          <w:szCs w:val="20"/>
        </w:rPr>
      </w:pPr>
      <w:r w:rsidRPr="00AC42E0">
        <w:rPr>
          <w:rFonts w:ascii="Arial" w:hAnsi="Arial" w:cs="Arial"/>
          <w:b/>
          <w:sz w:val="20"/>
          <w:szCs w:val="20"/>
        </w:rPr>
        <w:t>Phenotypes, Endotypes and Biomarkers of Severe Asthma</w:t>
      </w:r>
    </w:p>
    <w:p w14:paraId="5FD09EB3" w14:textId="77777777" w:rsidR="00AC42E0" w:rsidRPr="00AC42E0" w:rsidRDefault="00AC42E0" w:rsidP="00AC42E0">
      <w:pPr>
        <w:spacing w:after="0" w:line="28" w:lineRule="atLeast"/>
        <w:ind w:firstLine="720"/>
        <w:jc w:val="both"/>
        <w:rPr>
          <w:rFonts w:ascii="Arial" w:hAnsi="Arial" w:cs="Arial"/>
          <w:sz w:val="20"/>
          <w:szCs w:val="20"/>
        </w:rPr>
      </w:pPr>
      <w:r w:rsidRPr="00AC42E0">
        <w:rPr>
          <w:rFonts w:ascii="Arial" w:hAnsi="Arial" w:cs="Arial"/>
          <w:sz w:val="20"/>
          <w:szCs w:val="20"/>
        </w:rPr>
        <w:lastRenderedPageBreak/>
        <w:t xml:space="preserve">According to GINA 2022, severe asthma is uncontrolled asthma even if the patient has had the best care possible, including high doses of Inhalation Corticosteroid-Long-Acting-Beta-Agonist (ICS-LABA) and the best management of precipitating events, or if asthma gets worse if high-dose treatment is discontinued. Correct inhaler use techniques, poor patient compliance, comorbidities (gastroesophageal reflux diseases, chronic rhinosinusitis, obstructive sleep </w:t>
      </w:r>
      <w:proofErr w:type="spellStart"/>
      <w:r w:rsidRPr="00AC42E0">
        <w:rPr>
          <w:rFonts w:ascii="Arial" w:hAnsi="Arial" w:cs="Arial"/>
          <w:sz w:val="20"/>
          <w:szCs w:val="20"/>
        </w:rPr>
        <w:t>apnea</w:t>
      </w:r>
      <w:proofErr w:type="spellEnd"/>
      <w:r w:rsidRPr="00AC42E0">
        <w:rPr>
          <w:rFonts w:ascii="Arial" w:hAnsi="Arial" w:cs="Arial"/>
          <w:sz w:val="20"/>
          <w:szCs w:val="20"/>
        </w:rPr>
        <w:t>), precipitating factors, living, or working environment l(smoking, exposure to environment and allergens), frequent use of short-acting beta-agonist (SABA) reliever drugs, side effects of drugs, anxiety, and depression are some of the factors that contribute to symptoms, exacerbations.</w:t>
      </w:r>
      <w:r w:rsidRPr="00AC42E0">
        <w:rPr>
          <w:rFonts w:ascii="Arial" w:hAnsi="Arial" w:cs="Arial"/>
          <w:sz w:val="20"/>
          <w:szCs w:val="20"/>
          <w:vertAlign w:val="superscript"/>
        </w:rPr>
        <w:t>1,3,5</w:t>
      </w:r>
    </w:p>
    <w:p w14:paraId="61651EB4" w14:textId="33FE94CD" w:rsidR="00AC42E0" w:rsidRPr="00AC42E0" w:rsidRDefault="003761CC" w:rsidP="00AC42E0">
      <w:pPr>
        <w:spacing w:after="0" w:line="28" w:lineRule="atLeast"/>
        <w:ind w:firstLine="720"/>
        <w:jc w:val="both"/>
        <w:rPr>
          <w:rFonts w:ascii="Arial" w:hAnsi="Arial" w:cs="Arial"/>
          <w:sz w:val="20"/>
          <w:szCs w:val="20"/>
        </w:rPr>
      </w:pPr>
      <w:r w:rsidRPr="003761CC">
        <w:rPr>
          <w:rFonts w:ascii="Arial" w:hAnsi="Arial" w:cs="Arial"/>
          <w:sz w:val="20"/>
          <w:szCs w:val="20"/>
        </w:rPr>
        <w:t>If the causes underlying the asthma have dramatically improved after 3 to 6 months of appropriate medication, severe asthma is not taken into consideration.1 In comparison to mild to moderate asthma, severe asthma is associated with higher rates of morbidity, more frequent exacerbations, a higher risk of death, drug use, doctor visits, hospitalizations, OCS side effects, and health care costs that are six times higher. According to research done in England, people with severe asthma have higher healthcare costs than people with type 2 diabetes mellitus, stroke, and chronic obstructive pulmonary disease. Canadian research indicates that those with severe asthma are projected to spend over 60% more on healthcare than people with mild to moderate asthma.</w:t>
      </w:r>
      <w:r w:rsidR="00AC42E0" w:rsidRPr="00AC42E0">
        <w:rPr>
          <w:rFonts w:ascii="Arial" w:hAnsi="Arial" w:cs="Arial"/>
          <w:sz w:val="20"/>
          <w:szCs w:val="20"/>
          <w:vertAlign w:val="superscript"/>
        </w:rPr>
        <w:t>1</w:t>
      </w:r>
    </w:p>
    <w:p w14:paraId="7F57CBE2" w14:textId="3A42AA92" w:rsidR="00AC42E0" w:rsidRPr="00AC42E0" w:rsidRDefault="00D63438" w:rsidP="00AC42E0">
      <w:pPr>
        <w:spacing w:after="0" w:line="28" w:lineRule="atLeast"/>
        <w:ind w:firstLine="720"/>
        <w:jc w:val="both"/>
        <w:rPr>
          <w:rFonts w:ascii="Arial" w:hAnsi="Arial" w:cs="Arial"/>
          <w:sz w:val="20"/>
          <w:szCs w:val="20"/>
        </w:rPr>
      </w:pPr>
      <w:r w:rsidRPr="00D63438">
        <w:rPr>
          <w:rFonts w:ascii="Arial" w:hAnsi="Arial" w:cs="Arial"/>
          <w:sz w:val="20"/>
          <w:szCs w:val="20"/>
        </w:rPr>
        <w:t>In the Netherlands, a study on asthma patients over the age of 18 found that approximately 24 percent of the population was being treated in accordance with steps four and five of the GINA management guidelines, 17% of the population belonged to the group of patients with difficult-to-treat asthma, and approximately 3.7% of these patients had an asthma attack. The Asthma Control Test (ACT) assessment, adherence, and inhaler technique were used to determine the number of patients treated with high-dose ICS-LABA or moderate/high-dose ICS-LABA + long-term OCS who had poor symptom control.1,5,7 Asthma affects between 0.2 and 21% of persons worldwide. There are wide variations in the reported prevalence of severe asthma</w:t>
      </w:r>
      <w:r w:rsidR="00AC42E0" w:rsidRPr="00AC42E0">
        <w:rPr>
          <w:rFonts w:ascii="Arial" w:hAnsi="Arial" w:cs="Arial"/>
          <w:sz w:val="20"/>
          <w:szCs w:val="20"/>
        </w:rPr>
        <w:t>.</w:t>
      </w:r>
      <w:r w:rsidR="00AC42E0" w:rsidRPr="00AC42E0">
        <w:rPr>
          <w:rFonts w:ascii="Arial" w:hAnsi="Arial" w:cs="Arial"/>
          <w:sz w:val="20"/>
          <w:szCs w:val="20"/>
          <w:vertAlign w:val="superscript"/>
        </w:rPr>
        <w:t>3,15,17</w:t>
      </w:r>
      <w:r w:rsidR="00AC42E0" w:rsidRPr="00AC42E0">
        <w:rPr>
          <w:rFonts w:ascii="Arial" w:hAnsi="Arial" w:cs="Arial"/>
          <w:sz w:val="20"/>
          <w:szCs w:val="20"/>
        </w:rPr>
        <w:t xml:space="preserve"> </w:t>
      </w:r>
      <w:r w:rsidR="00126CEE" w:rsidRPr="00126CEE">
        <w:rPr>
          <w:rFonts w:ascii="Arial" w:hAnsi="Arial" w:cs="Arial"/>
          <w:sz w:val="20"/>
          <w:szCs w:val="20"/>
        </w:rPr>
        <w:t xml:space="preserve">In between 5 and 10% of persons, according to research by </w:t>
      </w:r>
      <w:proofErr w:type="spellStart"/>
      <w:r w:rsidR="00126CEE" w:rsidRPr="00126CEE">
        <w:rPr>
          <w:rFonts w:ascii="Arial" w:hAnsi="Arial" w:cs="Arial"/>
          <w:sz w:val="20"/>
          <w:szCs w:val="20"/>
        </w:rPr>
        <w:t>Miyokawa</w:t>
      </w:r>
      <w:proofErr w:type="spellEnd"/>
      <w:r w:rsidR="00126CEE" w:rsidRPr="00126CEE">
        <w:rPr>
          <w:rFonts w:ascii="Arial" w:hAnsi="Arial" w:cs="Arial"/>
          <w:sz w:val="20"/>
          <w:szCs w:val="20"/>
        </w:rPr>
        <w:t xml:space="preserve"> et al, suffer severe or hard-to-treat asthma</w:t>
      </w:r>
      <w:r w:rsidR="00AC42E0" w:rsidRPr="00AC42E0">
        <w:rPr>
          <w:rFonts w:ascii="Arial" w:hAnsi="Arial" w:cs="Arial"/>
          <w:sz w:val="20"/>
          <w:szCs w:val="20"/>
        </w:rPr>
        <w:t>.</w:t>
      </w:r>
      <w:r w:rsidR="00AC42E0" w:rsidRPr="00AC42E0">
        <w:rPr>
          <w:rFonts w:ascii="Arial" w:hAnsi="Arial" w:cs="Arial"/>
          <w:sz w:val="20"/>
          <w:szCs w:val="20"/>
          <w:vertAlign w:val="superscript"/>
        </w:rPr>
        <w:t>5</w:t>
      </w:r>
    </w:p>
    <w:p w14:paraId="66359DE7" w14:textId="39BC498A" w:rsidR="00AC42E0" w:rsidRPr="00AC42E0" w:rsidRDefault="00D63438" w:rsidP="00AC42E0">
      <w:pPr>
        <w:spacing w:after="0" w:line="28" w:lineRule="atLeast"/>
        <w:ind w:firstLine="720"/>
        <w:jc w:val="both"/>
        <w:rPr>
          <w:rFonts w:ascii="Arial" w:hAnsi="Arial" w:cs="Arial"/>
          <w:sz w:val="20"/>
          <w:szCs w:val="20"/>
        </w:rPr>
      </w:pPr>
      <w:r w:rsidRPr="00D63438">
        <w:rPr>
          <w:rFonts w:ascii="Arial" w:hAnsi="Arial" w:cs="Arial"/>
          <w:sz w:val="20"/>
          <w:szCs w:val="20"/>
        </w:rPr>
        <w:t xml:space="preserve">Chronic airway inflammation and lung tissue </w:t>
      </w:r>
      <w:proofErr w:type="spellStart"/>
      <w:r w:rsidRPr="00D63438">
        <w:rPr>
          <w:rFonts w:ascii="Arial" w:hAnsi="Arial" w:cs="Arial"/>
          <w:sz w:val="20"/>
          <w:szCs w:val="20"/>
        </w:rPr>
        <w:t>remodeling</w:t>
      </w:r>
      <w:proofErr w:type="spellEnd"/>
      <w:r w:rsidRPr="00D63438">
        <w:rPr>
          <w:rFonts w:ascii="Arial" w:hAnsi="Arial" w:cs="Arial"/>
          <w:sz w:val="20"/>
          <w:szCs w:val="20"/>
        </w:rPr>
        <w:t xml:space="preserve"> are hallmarks of the complicated illness known as severe asthma, which has a range of clinical symptoms and treatment effects. The molecular phenotypic, </w:t>
      </w:r>
      <w:proofErr w:type="spellStart"/>
      <w:r w:rsidRPr="00D63438">
        <w:rPr>
          <w:rFonts w:ascii="Arial" w:hAnsi="Arial" w:cs="Arial"/>
          <w:sz w:val="20"/>
          <w:szCs w:val="20"/>
        </w:rPr>
        <w:t>endotypic</w:t>
      </w:r>
      <w:proofErr w:type="spellEnd"/>
      <w:r w:rsidRPr="00D63438">
        <w:rPr>
          <w:rFonts w:ascii="Arial" w:hAnsi="Arial" w:cs="Arial"/>
          <w:sz w:val="20"/>
          <w:szCs w:val="20"/>
        </w:rPr>
        <w:t>, biomarker, and treatment response variability of asthma is on the rise. The presence of an eosinophilic inflammatory process that is T-helper 2 (Th-2) defined is the main criterion for categorizing asthma. To optimize the use of specialized therapy, it is essential to establish the phenotypes, endotypes, and biomarkers of severe asthma</w:t>
      </w:r>
      <w:r w:rsidR="00126CEE">
        <w:rPr>
          <w:rFonts w:ascii="Arial" w:hAnsi="Arial" w:cs="Arial"/>
          <w:sz w:val="20"/>
          <w:szCs w:val="20"/>
        </w:rPr>
        <w:t xml:space="preserve"> </w:t>
      </w:r>
      <w:r w:rsidR="00AC42E0" w:rsidRPr="00AC42E0">
        <w:rPr>
          <w:rFonts w:ascii="Arial" w:hAnsi="Arial" w:cs="Arial"/>
          <w:sz w:val="20"/>
          <w:szCs w:val="20"/>
        </w:rPr>
        <w:t>(Fig. 1).</w:t>
      </w:r>
      <w:r w:rsidR="00AC42E0" w:rsidRPr="00AC42E0">
        <w:rPr>
          <w:rFonts w:ascii="Arial" w:hAnsi="Arial" w:cs="Arial"/>
          <w:sz w:val="20"/>
          <w:szCs w:val="20"/>
          <w:vertAlign w:val="superscript"/>
        </w:rPr>
        <w:t>5</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19718A" w:rsidRPr="00AC42E0" w14:paraId="03A4AB5C" w14:textId="77777777" w:rsidTr="0030269D">
        <w:tc>
          <w:tcPr>
            <w:tcW w:w="9026" w:type="dxa"/>
          </w:tcPr>
          <w:p w14:paraId="1168FC53" w14:textId="77777777"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hAnsi="Arial" w:cs="Arial"/>
                <w:noProof/>
                <w:sz w:val="20"/>
                <w:szCs w:val="20"/>
              </w:rPr>
              <w:drawing>
                <wp:anchor distT="0" distB="0" distL="114300" distR="114300" simplePos="0" relativeHeight="251664384" behindDoc="0" locked="0" layoutInCell="1" hidden="0" allowOverlap="1" wp14:anchorId="4B916B26" wp14:editId="24C85E95">
                  <wp:simplePos x="0" y="0"/>
                  <wp:positionH relativeFrom="column">
                    <wp:posOffset>-36830</wp:posOffset>
                  </wp:positionH>
                  <wp:positionV relativeFrom="paragraph">
                    <wp:posOffset>0</wp:posOffset>
                  </wp:positionV>
                  <wp:extent cx="2949575" cy="2393315"/>
                  <wp:effectExtent l="0" t="0" r="3175" b="6985"/>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949575" cy="2393315"/>
                          </a:xfrm>
                          <a:prstGeom prst="rect">
                            <a:avLst/>
                          </a:prstGeom>
                          <a:ln/>
                        </pic:spPr>
                      </pic:pic>
                    </a:graphicData>
                  </a:graphic>
                  <wp14:sizeRelH relativeFrom="margin">
                    <wp14:pctWidth>0</wp14:pctWidth>
                  </wp14:sizeRelH>
                  <wp14:sizeRelV relativeFrom="margin">
                    <wp14:pctHeight>0</wp14:pctHeight>
                  </wp14:sizeRelV>
                </wp:anchor>
              </w:drawing>
            </w:r>
          </w:p>
        </w:tc>
      </w:tr>
      <w:tr w:rsidR="0019718A" w:rsidRPr="00AC42E0" w14:paraId="683DBB84" w14:textId="77777777" w:rsidTr="0030269D">
        <w:tc>
          <w:tcPr>
            <w:tcW w:w="9026" w:type="dxa"/>
          </w:tcPr>
          <w:p w14:paraId="7AE289E2" w14:textId="77777777"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eastAsia="Times New Roman" w:hAnsi="Arial" w:cs="Arial"/>
                <w:b/>
                <w:bCs/>
                <w:sz w:val="20"/>
                <w:szCs w:val="20"/>
              </w:rPr>
              <w:t>Figure 1.</w:t>
            </w:r>
            <w:r w:rsidRPr="00AC42E0">
              <w:rPr>
                <w:rFonts w:ascii="Arial" w:eastAsia="Times New Roman" w:hAnsi="Arial" w:cs="Arial"/>
                <w:sz w:val="20"/>
                <w:szCs w:val="20"/>
              </w:rPr>
              <w:t xml:space="preserve"> Phenotype, endotype and biomarkers of </w:t>
            </w:r>
          </w:p>
          <w:p w14:paraId="5F4EAC88" w14:textId="62EB6084"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eastAsia="Times New Roman" w:hAnsi="Arial" w:cs="Arial"/>
                <w:sz w:val="20"/>
                <w:szCs w:val="20"/>
              </w:rPr>
              <w:t>severe asthma</w:t>
            </w:r>
            <w:r w:rsidRPr="00AC42E0">
              <w:rPr>
                <w:rFonts w:ascii="Arial" w:eastAsia="Times New Roman" w:hAnsi="Arial" w:cs="Arial"/>
                <w:sz w:val="20"/>
                <w:szCs w:val="20"/>
                <w:vertAlign w:val="superscript"/>
              </w:rPr>
              <w:t>5</w:t>
            </w:r>
          </w:p>
        </w:tc>
      </w:tr>
    </w:tbl>
    <w:p w14:paraId="234F9630" w14:textId="77777777" w:rsidR="0019718A" w:rsidRPr="00AC42E0" w:rsidRDefault="0019718A" w:rsidP="00AC42E0">
      <w:pPr>
        <w:spacing w:after="0" w:line="28" w:lineRule="atLeast"/>
        <w:ind w:firstLine="720"/>
        <w:jc w:val="both"/>
        <w:rPr>
          <w:rFonts w:ascii="Arial" w:hAnsi="Arial" w:cs="Arial"/>
          <w:sz w:val="20"/>
          <w:szCs w:val="20"/>
        </w:rPr>
      </w:pPr>
    </w:p>
    <w:p w14:paraId="3F41841B" w14:textId="77777777" w:rsidR="0019718A" w:rsidRPr="00AC42E0" w:rsidRDefault="0019718A" w:rsidP="00AC42E0">
      <w:pPr>
        <w:spacing w:after="0" w:line="28" w:lineRule="atLeast"/>
        <w:jc w:val="both"/>
        <w:rPr>
          <w:rFonts w:ascii="Arial" w:hAnsi="Arial" w:cs="Arial"/>
          <w:b/>
          <w:sz w:val="20"/>
          <w:szCs w:val="20"/>
        </w:rPr>
      </w:pPr>
      <w:r w:rsidRPr="00AC42E0">
        <w:rPr>
          <w:rFonts w:ascii="Arial" w:hAnsi="Arial" w:cs="Arial"/>
          <w:b/>
          <w:sz w:val="20"/>
          <w:szCs w:val="20"/>
        </w:rPr>
        <w:t>Severe Asthma Phenotype</w:t>
      </w:r>
    </w:p>
    <w:p w14:paraId="16259190" w14:textId="1F7AA35C" w:rsidR="00AC42E0" w:rsidRPr="00AC42E0" w:rsidRDefault="00126CEE" w:rsidP="00AC42E0">
      <w:pPr>
        <w:spacing w:after="0" w:line="28" w:lineRule="atLeast"/>
        <w:ind w:firstLine="720"/>
        <w:jc w:val="both"/>
        <w:rPr>
          <w:rFonts w:ascii="Arial" w:hAnsi="Arial" w:cs="Arial"/>
          <w:sz w:val="20"/>
          <w:szCs w:val="20"/>
        </w:rPr>
      </w:pPr>
      <w:r w:rsidRPr="00126CEE">
        <w:rPr>
          <w:rFonts w:ascii="Arial" w:hAnsi="Arial" w:cs="Arial"/>
          <w:sz w:val="20"/>
          <w:szCs w:val="20"/>
        </w:rPr>
        <w:t>The manifestation of a patient's characteristics, or phenotype, may be seen and made clear through interactions between the patient's environment and genotype, such as lung function and Immunoglobulin (</w:t>
      </w:r>
      <w:proofErr w:type="spellStart"/>
      <w:r w:rsidRPr="00126CEE">
        <w:rPr>
          <w:rFonts w:ascii="Arial" w:hAnsi="Arial" w:cs="Arial"/>
          <w:sz w:val="20"/>
          <w:szCs w:val="20"/>
        </w:rPr>
        <w:t>IgE</w:t>
      </w:r>
      <w:proofErr w:type="spellEnd"/>
      <w:r w:rsidRPr="00126CEE">
        <w:rPr>
          <w:rFonts w:ascii="Arial" w:hAnsi="Arial" w:cs="Arial"/>
          <w:sz w:val="20"/>
          <w:szCs w:val="20"/>
        </w:rPr>
        <w:t xml:space="preserve">) (biomarker) responses to certain allergens. based on a combination of physiological, biochemical, and clinical traits. In a review of the literature, </w:t>
      </w:r>
      <w:proofErr w:type="spellStart"/>
      <w:r w:rsidRPr="00126CEE">
        <w:rPr>
          <w:rFonts w:ascii="Arial" w:hAnsi="Arial" w:cs="Arial"/>
          <w:sz w:val="20"/>
          <w:szCs w:val="20"/>
        </w:rPr>
        <w:t>Noujeim</w:t>
      </w:r>
      <w:proofErr w:type="spellEnd"/>
      <w:r w:rsidRPr="00126CEE">
        <w:rPr>
          <w:rFonts w:ascii="Arial" w:hAnsi="Arial" w:cs="Arial"/>
          <w:sz w:val="20"/>
          <w:szCs w:val="20"/>
        </w:rPr>
        <w:t xml:space="preserve"> et al. organized the phenotypes of people with severe asthma. These characteristics are divided into two groups: </w:t>
      </w:r>
      <w:r w:rsidR="00D63438" w:rsidRPr="00D63438">
        <w:rPr>
          <w:rFonts w:ascii="Arial" w:hAnsi="Arial" w:cs="Arial"/>
          <w:sz w:val="20"/>
          <w:szCs w:val="20"/>
        </w:rPr>
        <w:t>the inflammatory phenotype and the clinical phenotype. Severe asthma with recurring exacerbations, asthma with fixed airflow restriction (irreversible airway obstruction), and asthma needing systemic corticosteroids as therapy are the three clinical phenotypes.</w:t>
      </w:r>
      <w:r w:rsidRPr="00126CEE">
        <w:rPr>
          <w:rFonts w:ascii="Arial" w:hAnsi="Arial" w:cs="Arial"/>
          <w:sz w:val="20"/>
          <w:szCs w:val="20"/>
        </w:rPr>
        <w:t xml:space="preserve"> The two kinds of inflammation that make up the three phenotypes and </w:t>
      </w:r>
      <w:proofErr w:type="spellStart"/>
      <w:r w:rsidRPr="00126CEE">
        <w:rPr>
          <w:rFonts w:ascii="Arial" w:hAnsi="Arial" w:cs="Arial"/>
          <w:sz w:val="20"/>
          <w:szCs w:val="20"/>
        </w:rPr>
        <w:t>paucigranulocytic</w:t>
      </w:r>
      <w:proofErr w:type="spellEnd"/>
      <w:r w:rsidRPr="00126CEE">
        <w:rPr>
          <w:rFonts w:ascii="Arial" w:hAnsi="Arial" w:cs="Arial"/>
          <w:sz w:val="20"/>
          <w:szCs w:val="20"/>
        </w:rPr>
        <w:t xml:space="preserve"> (neutrophil eosinophil value normal) are chronic severe eosinophilic asthma (Eosinophil value &gt;3%) and severe neutrophilic asthma (neutrophil value &gt;61%), as illustrated in table 1</w:t>
      </w:r>
      <w:r w:rsidR="00AC42E0" w:rsidRPr="00AC42E0">
        <w:rPr>
          <w:rFonts w:ascii="Arial" w:hAnsi="Arial" w:cs="Arial"/>
          <w:sz w:val="20"/>
          <w:szCs w:val="20"/>
        </w:rPr>
        <w:t>.</w:t>
      </w:r>
      <w:r w:rsidR="00AC42E0" w:rsidRPr="00AC42E0">
        <w:rPr>
          <w:rFonts w:ascii="Arial" w:hAnsi="Arial" w:cs="Arial"/>
          <w:sz w:val="20"/>
          <w:szCs w:val="20"/>
          <w:vertAlign w:val="superscript"/>
        </w:rPr>
        <w:t xml:space="preserve">5,7 </w:t>
      </w:r>
    </w:p>
    <w:tbl>
      <w:tblPr>
        <w:tblW w:w="4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4"/>
        <w:gridCol w:w="2383"/>
      </w:tblGrid>
      <w:tr w:rsidR="0019718A" w:rsidRPr="00AC42E0" w14:paraId="5BA7C3FF" w14:textId="77777777" w:rsidTr="0030269D">
        <w:trPr>
          <w:trHeight w:val="432"/>
        </w:trPr>
        <w:tc>
          <w:tcPr>
            <w:tcW w:w="4757" w:type="dxa"/>
            <w:gridSpan w:val="2"/>
            <w:tcBorders>
              <w:top w:val="nil"/>
              <w:left w:val="nil"/>
              <w:bottom w:val="single" w:sz="4" w:space="0" w:color="000000"/>
              <w:right w:val="nil"/>
            </w:tcBorders>
            <w:vAlign w:val="center"/>
          </w:tcPr>
          <w:p w14:paraId="78A13629" w14:textId="77777777" w:rsidR="0019718A" w:rsidRPr="00AC42E0" w:rsidRDefault="0019718A" w:rsidP="00AC42E0">
            <w:pPr>
              <w:widowControl w:val="0"/>
              <w:pBdr>
                <w:top w:val="nil"/>
                <w:left w:val="nil"/>
                <w:bottom w:val="nil"/>
                <w:right w:val="nil"/>
                <w:between w:val="nil"/>
              </w:pBdr>
              <w:spacing w:after="0" w:line="28" w:lineRule="atLeast"/>
              <w:ind w:right="227" w:firstLine="720"/>
              <w:jc w:val="both"/>
              <w:rPr>
                <w:rFonts w:ascii="Arial" w:eastAsia="Times New Roman" w:hAnsi="Arial" w:cs="Arial"/>
                <w:color w:val="000000"/>
                <w:sz w:val="20"/>
                <w:szCs w:val="20"/>
                <w:vertAlign w:val="superscript"/>
              </w:rPr>
            </w:pPr>
            <w:bookmarkStart w:id="0" w:name="_gjdgxs" w:colFirst="0" w:colLast="0"/>
            <w:bookmarkEnd w:id="0"/>
            <w:r w:rsidRPr="00AC42E0">
              <w:rPr>
                <w:rFonts w:ascii="Arial" w:eastAsia="Times New Roman" w:hAnsi="Arial" w:cs="Arial"/>
                <w:b/>
                <w:color w:val="000000"/>
                <w:sz w:val="20"/>
                <w:szCs w:val="20"/>
              </w:rPr>
              <w:t>Table 1</w:t>
            </w:r>
            <w:r w:rsidRPr="00AC42E0">
              <w:rPr>
                <w:rFonts w:ascii="Arial" w:eastAsia="Times New Roman" w:hAnsi="Arial" w:cs="Arial"/>
                <w:color w:val="000000"/>
                <w:sz w:val="20"/>
                <w:szCs w:val="20"/>
              </w:rPr>
              <w:t>. Characteristics of the severe asthma phenotype</w:t>
            </w:r>
            <w:r w:rsidRPr="00AC42E0">
              <w:rPr>
                <w:rFonts w:ascii="Arial" w:eastAsia="Times New Roman" w:hAnsi="Arial" w:cs="Arial"/>
                <w:color w:val="000000"/>
                <w:sz w:val="20"/>
                <w:szCs w:val="20"/>
                <w:vertAlign w:val="superscript"/>
              </w:rPr>
              <w:t>7</w:t>
            </w:r>
          </w:p>
        </w:tc>
      </w:tr>
      <w:tr w:rsidR="0019718A" w:rsidRPr="00AC42E0" w14:paraId="4054BF6A" w14:textId="77777777" w:rsidTr="0030269D">
        <w:trPr>
          <w:trHeight w:val="415"/>
        </w:trPr>
        <w:tc>
          <w:tcPr>
            <w:tcW w:w="2374" w:type="dxa"/>
            <w:tcBorders>
              <w:top w:val="single" w:sz="4" w:space="0" w:color="000000"/>
              <w:left w:val="single" w:sz="4" w:space="0" w:color="000000"/>
              <w:bottom w:val="single" w:sz="4" w:space="0" w:color="000000"/>
              <w:right w:val="single" w:sz="4" w:space="0" w:color="000000"/>
            </w:tcBorders>
            <w:vAlign w:val="center"/>
          </w:tcPr>
          <w:p w14:paraId="4E16E647" w14:textId="77777777" w:rsidR="0019718A" w:rsidRPr="00AC42E0" w:rsidRDefault="0019718A" w:rsidP="00AC42E0">
            <w:pPr>
              <w:pBdr>
                <w:left w:val="single" w:sz="4" w:space="4" w:color="000000"/>
                <w:between w:val="single" w:sz="4" w:space="1" w:color="000000"/>
              </w:pBdr>
              <w:spacing w:after="0" w:line="28" w:lineRule="atLeast"/>
              <w:jc w:val="both"/>
              <w:rPr>
                <w:rFonts w:ascii="Arial" w:eastAsia="Times New Roman" w:hAnsi="Arial" w:cs="Arial"/>
                <w:b/>
                <w:sz w:val="20"/>
                <w:szCs w:val="20"/>
              </w:rPr>
            </w:pPr>
            <w:r w:rsidRPr="00AC42E0">
              <w:rPr>
                <w:rFonts w:ascii="Arial" w:eastAsia="Times New Roman" w:hAnsi="Arial" w:cs="Arial"/>
                <w:b/>
                <w:sz w:val="20"/>
                <w:szCs w:val="20"/>
              </w:rPr>
              <w:t>Clinical phenotype</w:t>
            </w:r>
          </w:p>
        </w:tc>
        <w:tc>
          <w:tcPr>
            <w:tcW w:w="2382" w:type="dxa"/>
            <w:tcBorders>
              <w:top w:val="single" w:sz="4" w:space="0" w:color="000000"/>
              <w:left w:val="single" w:sz="4" w:space="0" w:color="000000"/>
              <w:bottom w:val="single" w:sz="4" w:space="0" w:color="000000"/>
              <w:right w:val="single" w:sz="4" w:space="0" w:color="000000"/>
            </w:tcBorders>
            <w:vAlign w:val="center"/>
          </w:tcPr>
          <w:p w14:paraId="5F8D070F" w14:textId="77777777" w:rsidR="0019718A" w:rsidRPr="00AC42E0" w:rsidRDefault="0019718A" w:rsidP="00AC42E0">
            <w:pPr>
              <w:pBdr>
                <w:left w:val="single" w:sz="4" w:space="4" w:color="000000"/>
                <w:between w:val="single" w:sz="4" w:space="1" w:color="000000"/>
              </w:pBdr>
              <w:spacing w:after="0" w:line="28" w:lineRule="atLeast"/>
              <w:jc w:val="both"/>
              <w:rPr>
                <w:rFonts w:ascii="Arial" w:eastAsia="Times New Roman" w:hAnsi="Arial" w:cs="Arial"/>
                <w:b/>
                <w:sz w:val="20"/>
                <w:szCs w:val="20"/>
              </w:rPr>
            </w:pPr>
            <w:r w:rsidRPr="00AC42E0">
              <w:rPr>
                <w:rFonts w:ascii="Arial" w:eastAsia="Times New Roman" w:hAnsi="Arial" w:cs="Arial"/>
                <w:b/>
                <w:sz w:val="20"/>
                <w:szCs w:val="20"/>
              </w:rPr>
              <w:t>Inflammatory phenotype</w:t>
            </w:r>
          </w:p>
        </w:tc>
      </w:tr>
      <w:tr w:rsidR="0019718A" w:rsidRPr="00AC42E0" w14:paraId="4315AA72" w14:textId="77777777" w:rsidTr="0030269D">
        <w:trPr>
          <w:trHeight w:val="415"/>
        </w:trPr>
        <w:tc>
          <w:tcPr>
            <w:tcW w:w="2374" w:type="dxa"/>
            <w:tcBorders>
              <w:top w:val="single" w:sz="4" w:space="0" w:color="000000"/>
              <w:left w:val="single" w:sz="4" w:space="0" w:color="000000"/>
              <w:bottom w:val="single" w:sz="4" w:space="0" w:color="000000"/>
              <w:right w:val="single" w:sz="4" w:space="0" w:color="000000"/>
            </w:tcBorders>
            <w:vAlign w:val="center"/>
          </w:tcPr>
          <w:p w14:paraId="0E400DBE" w14:textId="77777777" w:rsidR="0019718A" w:rsidRPr="00AC42E0" w:rsidRDefault="0019718A" w:rsidP="00AC42E0">
            <w:pPr>
              <w:pBdr>
                <w:left w:val="single" w:sz="4" w:space="4" w:color="000000"/>
                <w:between w:val="single" w:sz="4" w:space="1" w:color="000000"/>
              </w:pBd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severe asthma with frequent exacerbations</w:t>
            </w:r>
          </w:p>
        </w:tc>
        <w:tc>
          <w:tcPr>
            <w:tcW w:w="2382" w:type="dxa"/>
            <w:tcBorders>
              <w:top w:val="single" w:sz="4" w:space="0" w:color="000000"/>
              <w:left w:val="single" w:sz="4" w:space="0" w:color="000000"/>
              <w:bottom w:val="single" w:sz="4" w:space="0" w:color="000000"/>
              <w:right w:val="single" w:sz="4" w:space="0" w:color="000000"/>
            </w:tcBorders>
            <w:vAlign w:val="center"/>
          </w:tcPr>
          <w:p w14:paraId="4A5BE965" w14:textId="77777777" w:rsidR="0019718A" w:rsidRPr="00AC42E0" w:rsidRDefault="0019718A" w:rsidP="00AC42E0">
            <w:pPr>
              <w:pBdr>
                <w:left w:val="single" w:sz="4" w:space="4" w:color="000000"/>
                <w:between w:val="single" w:sz="4" w:space="1" w:color="000000"/>
              </w:pBd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persistent severe eosinophilic asthma</w:t>
            </w:r>
          </w:p>
        </w:tc>
      </w:tr>
      <w:tr w:rsidR="0019718A" w:rsidRPr="00AC42E0" w14:paraId="175CEB63" w14:textId="77777777" w:rsidTr="0030269D">
        <w:trPr>
          <w:trHeight w:val="849"/>
        </w:trPr>
        <w:tc>
          <w:tcPr>
            <w:tcW w:w="2374" w:type="dxa"/>
            <w:tcBorders>
              <w:top w:val="single" w:sz="4" w:space="0" w:color="000000"/>
              <w:left w:val="single" w:sz="4" w:space="0" w:color="000000"/>
              <w:bottom w:val="single" w:sz="4" w:space="0" w:color="000000"/>
              <w:right w:val="single" w:sz="4" w:space="0" w:color="000000"/>
            </w:tcBorders>
            <w:vAlign w:val="center"/>
          </w:tcPr>
          <w:p w14:paraId="3138C0B1" w14:textId="5463BA1F" w:rsidR="0019718A" w:rsidRPr="00AC42E0" w:rsidRDefault="00AC42E0" w:rsidP="00AC42E0">
            <w:pPr>
              <w:pBdr>
                <w:left w:val="single" w:sz="4" w:space="4" w:color="000000"/>
                <w:between w:val="single" w:sz="4" w:space="1" w:color="000000"/>
              </w:pBd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A</w:t>
            </w:r>
            <w:r w:rsidR="0019718A" w:rsidRPr="00AC42E0">
              <w:rPr>
                <w:rFonts w:ascii="Arial" w:eastAsia="Times New Roman" w:hAnsi="Arial" w:cs="Arial"/>
                <w:sz w:val="20"/>
                <w:szCs w:val="20"/>
              </w:rPr>
              <w:t>sthma</w:t>
            </w:r>
            <w:r>
              <w:rPr>
                <w:rFonts w:ascii="Arial" w:eastAsia="Times New Roman" w:hAnsi="Arial" w:cs="Arial"/>
                <w:sz w:val="20"/>
                <w:szCs w:val="20"/>
              </w:rPr>
              <w:t xml:space="preserve"> </w:t>
            </w:r>
            <w:r w:rsidR="0019718A" w:rsidRPr="00AC42E0">
              <w:rPr>
                <w:rFonts w:ascii="Arial" w:eastAsia="Times New Roman" w:hAnsi="Arial" w:cs="Arial"/>
                <w:sz w:val="20"/>
                <w:szCs w:val="20"/>
              </w:rPr>
              <w:t xml:space="preserve">with </w:t>
            </w:r>
            <w:proofErr w:type="spellStart"/>
            <w:r w:rsidR="0019718A" w:rsidRPr="00AC42E0">
              <w:rPr>
                <w:rFonts w:ascii="Arial" w:eastAsia="Times New Roman" w:hAnsi="Arial" w:cs="Arial"/>
                <w:sz w:val="20"/>
                <w:szCs w:val="20"/>
              </w:rPr>
              <w:t>obstruction</w:t>
            </w:r>
            <w:r w:rsidR="0019718A" w:rsidRPr="00AC42E0">
              <w:rPr>
                <w:rFonts w:ascii="Arial" w:eastAsia="Times New Roman" w:hAnsi="Arial" w:cs="Arial"/>
                <w:i/>
                <w:sz w:val="20"/>
                <w:szCs w:val="20"/>
              </w:rPr>
              <w:t>fixed</w:t>
            </w:r>
            <w:proofErr w:type="spellEnd"/>
            <w:r w:rsidR="0019718A" w:rsidRPr="00AC42E0">
              <w:rPr>
                <w:rFonts w:ascii="Arial" w:eastAsia="Times New Roman" w:hAnsi="Arial" w:cs="Arial"/>
                <w:i/>
                <w:sz w:val="20"/>
                <w:szCs w:val="20"/>
              </w:rPr>
              <w:t xml:space="preserve"> airflow</w:t>
            </w:r>
          </w:p>
        </w:tc>
        <w:tc>
          <w:tcPr>
            <w:tcW w:w="2382" w:type="dxa"/>
            <w:tcBorders>
              <w:top w:val="single" w:sz="4" w:space="0" w:color="000000"/>
              <w:left w:val="single" w:sz="4" w:space="0" w:color="000000"/>
              <w:bottom w:val="single" w:sz="4" w:space="0" w:color="000000"/>
              <w:right w:val="single" w:sz="4" w:space="0" w:color="000000"/>
            </w:tcBorders>
            <w:vAlign w:val="center"/>
          </w:tcPr>
          <w:p w14:paraId="694501A4" w14:textId="77777777" w:rsidR="0019718A" w:rsidRPr="00AC42E0" w:rsidRDefault="0019718A" w:rsidP="00AC42E0">
            <w:pPr>
              <w:pBdr>
                <w:left w:val="single" w:sz="4" w:space="4" w:color="000000"/>
                <w:between w:val="single" w:sz="4" w:space="1" w:color="000000"/>
              </w:pBd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non-eosinophilic severe asthma with increased neutrophils</w:t>
            </w:r>
          </w:p>
        </w:tc>
      </w:tr>
      <w:tr w:rsidR="0019718A" w:rsidRPr="00AC42E0" w14:paraId="4E7BA0E8" w14:textId="77777777" w:rsidTr="0030269D">
        <w:trPr>
          <w:trHeight w:val="415"/>
        </w:trPr>
        <w:tc>
          <w:tcPr>
            <w:tcW w:w="2374" w:type="dxa"/>
            <w:tcBorders>
              <w:top w:val="single" w:sz="4" w:space="0" w:color="000000"/>
              <w:left w:val="single" w:sz="4" w:space="0" w:color="000000"/>
              <w:bottom w:val="single" w:sz="4" w:space="0" w:color="000000"/>
              <w:right w:val="single" w:sz="4" w:space="0" w:color="000000"/>
            </w:tcBorders>
            <w:vAlign w:val="center"/>
          </w:tcPr>
          <w:p w14:paraId="62BF03A3" w14:textId="77777777" w:rsidR="0019718A" w:rsidRPr="00AC42E0" w:rsidRDefault="0019718A" w:rsidP="00AC42E0">
            <w:pPr>
              <w:pBdr>
                <w:left w:val="single" w:sz="4" w:space="4" w:color="000000"/>
                <w:between w:val="single" w:sz="4" w:space="1" w:color="000000"/>
              </w:pBd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corticosteroid dependent asthma</w:t>
            </w:r>
          </w:p>
        </w:tc>
        <w:tc>
          <w:tcPr>
            <w:tcW w:w="2382" w:type="dxa"/>
            <w:tcBorders>
              <w:top w:val="single" w:sz="4" w:space="0" w:color="000000"/>
              <w:left w:val="single" w:sz="4" w:space="0" w:color="000000"/>
              <w:bottom w:val="single" w:sz="4" w:space="0" w:color="000000"/>
              <w:right w:val="single" w:sz="4" w:space="0" w:color="000000"/>
            </w:tcBorders>
            <w:vAlign w:val="center"/>
          </w:tcPr>
          <w:p w14:paraId="54FB79C7" w14:textId="77777777" w:rsidR="0019718A" w:rsidRPr="00AC42E0" w:rsidRDefault="0019718A" w:rsidP="00AC42E0">
            <w:pPr>
              <w:pBdr>
                <w:left w:val="single" w:sz="4" w:space="4" w:color="000000"/>
                <w:between w:val="single" w:sz="4" w:space="1" w:color="000000"/>
              </w:pBdr>
              <w:spacing w:after="0" w:line="28" w:lineRule="atLeast"/>
              <w:jc w:val="both"/>
              <w:rPr>
                <w:rFonts w:ascii="Arial" w:eastAsia="Times New Roman" w:hAnsi="Arial" w:cs="Arial"/>
                <w:sz w:val="20"/>
                <w:szCs w:val="20"/>
              </w:rPr>
            </w:pPr>
            <w:proofErr w:type="spellStart"/>
            <w:r w:rsidRPr="00AC42E0">
              <w:rPr>
                <w:rFonts w:ascii="Arial" w:eastAsia="Times New Roman" w:hAnsi="Arial" w:cs="Arial"/>
                <w:sz w:val="20"/>
                <w:szCs w:val="20"/>
              </w:rPr>
              <w:t>paucigranulocytic</w:t>
            </w:r>
            <w:proofErr w:type="spellEnd"/>
            <w:r w:rsidRPr="00AC42E0">
              <w:rPr>
                <w:rFonts w:ascii="Arial" w:eastAsia="Times New Roman" w:hAnsi="Arial" w:cs="Arial"/>
                <w:sz w:val="20"/>
                <w:szCs w:val="20"/>
              </w:rPr>
              <w:t xml:space="preserve"> severe asthma</w:t>
            </w:r>
          </w:p>
        </w:tc>
      </w:tr>
    </w:tbl>
    <w:p w14:paraId="77D8C769" w14:textId="77777777" w:rsidR="0019718A" w:rsidRPr="00AC42E0" w:rsidRDefault="0019718A" w:rsidP="00AC42E0">
      <w:pPr>
        <w:spacing w:after="0" w:line="28" w:lineRule="atLeast"/>
        <w:ind w:firstLine="720"/>
        <w:jc w:val="both"/>
        <w:rPr>
          <w:rFonts w:ascii="Arial" w:hAnsi="Arial" w:cs="Arial"/>
          <w:sz w:val="20"/>
          <w:szCs w:val="20"/>
        </w:rPr>
      </w:pPr>
    </w:p>
    <w:p w14:paraId="3D600B65" w14:textId="5610B15D" w:rsidR="00AC42E0" w:rsidRPr="00AC42E0" w:rsidRDefault="00D63438" w:rsidP="00AC42E0">
      <w:pPr>
        <w:spacing w:after="0" w:line="28" w:lineRule="atLeast"/>
        <w:ind w:firstLine="720"/>
        <w:jc w:val="both"/>
        <w:rPr>
          <w:rFonts w:ascii="Arial" w:hAnsi="Arial" w:cs="Arial"/>
          <w:sz w:val="20"/>
          <w:szCs w:val="20"/>
        </w:rPr>
      </w:pPr>
      <w:r w:rsidRPr="00D63438">
        <w:rPr>
          <w:rFonts w:ascii="Arial" w:hAnsi="Arial" w:cs="Arial"/>
          <w:sz w:val="20"/>
          <w:szCs w:val="20"/>
        </w:rPr>
        <w:t xml:space="preserve">Severe asthma of the type 2 and non-type 2 phenotypes were identified by </w:t>
      </w:r>
      <w:proofErr w:type="spellStart"/>
      <w:r w:rsidRPr="00D63438">
        <w:rPr>
          <w:rFonts w:ascii="Arial" w:hAnsi="Arial" w:cs="Arial"/>
          <w:sz w:val="20"/>
          <w:szCs w:val="20"/>
        </w:rPr>
        <w:t>Piuvezam</w:t>
      </w:r>
      <w:proofErr w:type="spellEnd"/>
      <w:r w:rsidRPr="00D63438">
        <w:rPr>
          <w:rFonts w:ascii="Arial" w:hAnsi="Arial" w:cs="Arial"/>
          <w:sz w:val="20"/>
          <w:szCs w:val="20"/>
        </w:rPr>
        <w:t xml:space="preserve"> et al. The Th2 immune response was used to identify a unique type 2 severe asthma phenotype. As indicators for severe asthma type 2, elevated CD4+ T cells are seen in bronchoalveolar fluid, mucosal biopsies, blood eosinophils, and airway eosinophils as well as high serum </w:t>
      </w:r>
      <w:proofErr w:type="spellStart"/>
      <w:r w:rsidRPr="00D63438">
        <w:rPr>
          <w:rFonts w:ascii="Arial" w:hAnsi="Arial" w:cs="Arial"/>
          <w:sz w:val="20"/>
          <w:szCs w:val="20"/>
        </w:rPr>
        <w:t>titers</w:t>
      </w:r>
      <w:proofErr w:type="spellEnd"/>
      <w:r w:rsidRPr="00D63438">
        <w:rPr>
          <w:rFonts w:ascii="Arial" w:hAnsi="Arial" w:cs="Arial"/>
          <w:sz w:val="20"/>
          <w:szCs w:val="20"/>
        </w:rPr>
        <w:t xml:space="preserve"> of allergen-specific </w:t>
      </w:r>
      <w:proofErr w:type="spellStart"/>
      <w:r w:rsidRPr="00D63438">
        <w:rPr>
          <w:rFonts w:ascii="Arial" w:hAnsi="Arial" w:cs="Arial"/>
          <w:sz w:val="20"/>
          <w:szCs w:val="20"/>
        </w:rPr>
        <w:t>IgE</w:t>
      </w:r>
      <w:proofErr w:type="spellEnd"/>
      <w:r w:rsidRPr="00D63438">
        <w:rPr>
          <w:rFonts w:ascii="Arial" w:hAnsi="Arial" w:cs="Arial"/>
          <w:sz w:val="20"/>
          <w:szCs w:val="20"/>
        </w:rPr>
        <w:t xml:space="preserve">. The </w:t>
      </w:r>
      <w:r w:rsidRPr="00D63438">
        <w:rPr>
          <w:rFonts w:ascii="Arial" w:hAnsi="Arial" w:cs="Arial"/>
          <w:sz w:val="20"/>
          <w:szCs w:val="20"/>
        </w:rPr>
        <w:lastRenderedPageBreak/>
        <w:t>eosinophilic asthma, late-onset asthma, and early-onset asthma subtypes are the three subgroups of the severe asthma type -2 phenotype. When EOA, or allergic asthma, is linked to a family history of allergies, such as eczema, allergic rhinitis, food allergies, and medication allergies, it often manifests in children as the most easily identifiable phenotype</w:t>
      </w:r>
      <w:r w:rsidR="00AC42E0" w:rsidRPr="00AC42E0">
        <w:rPr>
          <w:rFonts w:ascii="Arial" w:hAnsi="Arial" w:cs="Arial"/>
          <w:sz w:val="20"/>
          <w:szCs w:val="20"/>
        </w:rPr>
        <w:t xml:space="preserve">. </w:t>
      </w:r>
      <w:r w:rsidRPr="00D63438">
        <w:rPr>
          <w:rFonts w:ascii="Arial" w:hAnsi="Arial" w:cs="Arial"/>
          <w:sz w:val="20"/>
          <w:szCs w:val="20"/>
        </w:rPr>
        <w:t xml:space="preserve">Some young children with early-onset asthma react effectively to corticosteroids and have reduced </w:t>
      </w:r>
      <w:proofErr w:type="spellStart"/>
      <w:r w:rsidRPr="00D63438">
        <w:rPr>
          <w:rFonts w:ascii="Arial" w:hAnsi="Arial" w:cs="Arial"/>
          <w:sz w:val="20"/>
          <w:szCs w:val="20"/>
        </w:rPr>
        <w:t>IgE</w:t>
      </w:r>
      <w:proofErr w:type="spellEnd"/>
      <w:r w:rsidRPr="00D63438">
        <w:rPr>
          <w:rFonts w:ascii="Arial" w:hAnsi="Arial" w:cs="Arial"/>
          <w:sz w:val="20"/>
          <w:szCs w:val="20"/>
        </w:rPr>
        <w:t xml:space="preserve"> levels. The EOA phenotype is significantly influenced by age. Compared to individuals with other phenotypes, </w:t>
      </w:r>
      <w:proofErr w:type="spellStart"/>
      <w:r w:rsidRPr="00D63438">
        <w:rPr>
          <w:rFonts w:ascii="Arial" w:hAnsi="Arial" w:cs="Arial"/>
          <w:sz w:val="20"/>
          <w:szCs w:val="20"/>
        </w:rPr>
        <w:t>pediatric</w:t>
      </w:r>
      <w:proofErr w:type="spellEnd"/>
      <w:r w:rsidRPr="00D63438">
        <w:rPr>
          <w:rFonts w:ascii="Arial" w:hAnsi="Arial" w:cs="Arial"/>
          <w:sz w:val="20"/>
          <w:szCs w:val="20"/>
        </w:rPr>
        <w:t xml:space="preserve"> patients with an early beginning of the severe atopic phenotype have a worse prognosis</w:t>
      </w:r>
      <w:r w:rsidR="00AC42E0" w:rsidRPr="00AC42E0">
        <w:rPr>
          <w:rFonts w:ascii="Arial" w:hAnsi="Arial" w:cs="Arial"/>
          <w:sz w:val="20"/>
          <w:szCs w:val="20"/>
        </w:rPr>
        <w:t>.</w:t>
      </w:r>
      <w:r w:rsidR="00AC42E0" w:rsidRPr="00AC42E0">
        <w:rPr>
          <w:rFonts w:ascii="Arial" w:hAnsi="Arial" w:cs="Arial"/>
          <w:sz w:val="20"/>
          <w:szCs w:val="20"/>
          <w:vertAlign w:val="superscript"/>
        </w:rPr>
        <w:t>5,6,13</w:t>
      </w:r>
    </w:p>
    <w:p w14:paraId="28A1E5A7" w14:textId="77777777" w:rsidR="00AC42E0" w:rsidRPr="00AC42E0" w:rsidRDefault="00AC42E0" w:rsidP="00AC42E0">
      <w:pPr>
        <w:spacing w:after="0" w:line="28" w:lineRule="atLeast"/>
        <w:ind w:firstLine="720"/>
        <w:jc w:val="both"/>
        <w:rPr>
          <w:rFonts w:ascii="Arial" w:hAnsi="Arial" w:cs="Arial"/>
          <w:sz w:val="20"/>
          <w:szCs w:val="20"/>
        </w:rPr>
      </w:pPr>
      <w:r w:rsidRPr="00AC42E0">
        <w:rPr>
          <w:rFonts w:ascii="Arial" w:hAnsi="Arial" w:cs="Arial"/>
          <w:sz w:val="20"/>
          <w:szCs w:val="20"/>
        </w:rPr>
        <w:t>Adult-onset asthma, also known as late-onset asthma (LOA), is a condition that develops beyond the age of 65 and affects 8 – 10% of people. Most adult asthma patients, particularly women, initially develop asthma in their adult years. At 65 years of age, LOA patients have a 4 – 15% higher morbidity and mortality rate than young adults.</w:t>
      </w:r>
      <w:r w:rsidRPr="00AC42E0">
        <w:rPr>
          <w:rFonts w:ascii="Arial" w:hAnsi="Arial" w:cs="Arial"/>
          <w:sz w:val="20"/>
          <w:szCs w:val="20"/>
          <w:vertAlign w:val="superscript"/>
        </w:rPr>
        <w:t>1,2,6</w:t>
      </w:r>
      <w:r w:rsidRPr="00AC42E0">
        <w:rPr>
          <w:rFonts w:ascii="Arial" w:hAnsi="Arial" w:cs="Arial"/>
          <w:sz w:val="20"/>
          <w:szCs w:val="20"/>
        </w:rPr>
        <w:t xml:space="preserve"> Since late-onset asthma usually has no prior history of allergies, high-dose corticosteroid therapy is necessary. One of the most prevalent forms of LOA in modern nations is occupational asthma. Nasal polyps and sinusitis are frequently seen in adult-onset asthma with very high eosinophil levels. This phenotype demonstrates a connection between mast cells and basophils, two types of inflammatory cells, and type 2 cytokines.</w:t>
      </w:r>
      <w:r w:rsidRPr="00AC42E0">
        <w:rPr>
          <w:rFonts w:ascii="Arial" w:hAnsi="Arial" w:cs="Arial"/>
          <w:sz w:val="20"/>
          <w:szCs w:val="20"/>
          <w:vertAlign w:val="superscript"/>
        </w:rPr>
        <w:t>5,6,14</w:t>
      </w:r>
    </w:p>
    <w:p w14:paraId="65F407D7" w14:textId="30DFCFD0" w:rsidR="00AC42E0" w:rsidRPr="00AC42E0" w:rsidRDefault="00D815E3" w:rsidP="00AC42E0">
      <w:pPr>
        <w:spacing w:after="0" w:line="28" w:lineRule="atLeast"/>
        <w:ind w:firstLine="720"/>
        <w:jc w:val="both"/>
        <w:rPr>
          <w:rFonts w:ascii="Arial" w:hAnsi="Arial" w:cs="Arial"/>
          <w:sz w:val="20"/>
          <w:szCs w:val="20"/>
        </w:rPr>
      </w:pPr>
      <w:r w:rsidRPr="00D815E3">
        <w:rPr>
          <w:rFonts w:ascii="Arial" w:hAnsi="Arial" w:cs="Arial"/>
          <w:sz w:val="20"/>
          <w:szCs w:val="20"/>
        </w:rPr>
        <w:t>In severe asthma, eosinophils are associated with eosinophils, which are granulocytic cells known as effector cells that produce and keep biologically active molecules, including cytotoxic proteins, namely major basic protein (MBP), eosinophil peroxidase (EPX), eosinophil cationic protein (ECP), eosinophil-derived neurotoxin (EDN), mediators. lipids, chemotactic peptides and other cytokines useful toward pathogens.</w:t>
      </w:r>
      <w:r w:rsidR="00126CEE" w:rsidRPr="00126CEE">
        <w:rPr>
          <w:rFonts w:ascii="Arial" w:hAnsi="Arial" w:cs="Arial"/>
          <w:sz w:val="20"/>
          <w:szCs w:val="20"/>
        </w:rPr>
        <w:t xml:space="preserve"> Eosinophil granule protein is toxic to both pathogens and other cells during an immune response, resulting in tissue damage and ultimately organ failure. Eosinophils create and expel a large number of proinflammatory cytokines and chemokines.</w:t>
      </w:r>
      <w:r w:rsidR="00AC42E0" w:rsidRPr="00AC42E0">
        <w:rPr>
          <w:rFonts w:ascii="Arial" w:hAnsi="Arial" w:cs="Arial"/>
          <w:sz w:val="20"/>
          <w:szCs w:val="20"/>
        </w:rPr>
        <w:t>.</w:t>
      </w:r>
      <w:r w:rsidR="00AC42E0" w:rsidRPr="00AC42E0">
        <w:rPr>
          <w:rFonts w:ascii="Arial" w:hAnsi="Arial" w:cs="Arial"/>
          <w:sz w:val="20"/>
          <w:szCs w:val="20"/>
          <w:vertAlign w:val="superscript"/>
        </w:rPr>
        <w:t>1,5,6,15</w:t>
      </w:r>
    </w:p>
    <w:p w14:paraId="5DDDAA94" w14:textId="786738D3" w:rsidR="00AC42E0" w:rsidRPr="00AC42E0" w:rsidRDefault="001064E0" w:rsidP="00AC42E0">
      <w:pPr>
        <w:spacing w:after="0" w:line="28" w:lineRule="atLeast"/>
        <w:ind w:firstLine="720"/>
        <w:jc w:val="both"/>
        <w:rPr>
          <w:rFonts w:ascii="Arial" w:hAnsi="Arial" w:cs="Arial"/>
          <w:sz w:val="20"/>
          <w:szCs w:val="20"/>
        </w:rPr>
      </w:pPr>
      <w:r w:rsidRPr="001064E0">
        <w:rPr>
          <w:rFonts w:ascii="Arial" w:hAnsi="Arial" w:cs="Arial"/>
          <w:sz w:val="20"/>
          <w:szCs w:val="20"/>
        </w:rPr>
        <w:t xml:space="preserve">Patients with non-type 2 severe asthma phenotypes frequently have obesity asthma and neutrophilic asthma. Obese asthmatic patients with the EOA phenotype had more bronchial hyperreactivity, a history of atopy, greater airway obstruction, higher serum </w:t>
      </w:r>
      <w:proofErr w:type="spellStart"/>
      <w:r w:rsidRPr="001064E0">
        <w:rPr>
          <w:rFonts w:ascii="Arial" w:hAnsi="Arial" w:cs="Arial"/>
          <w:sz w:val="20"/>
          <w:szCs w:val="20"/>
        </w:rPr>
        <w:t>IgE</w:t>
      </w:r>
      <w:proofErr w:type="spellEnd"/>
      <w:r w:rsidRPr="001064E0">
        <w:rPr>
          <w:rFonts w:ascii="Arial" w:hAnsi="Arial" w:cs="Arial"/>
          <w:sz w:val="20"/>
          <w:szCs w:val="20"/>
        </w:rPr>
        <w:t xml:space="preserve"> levels, and a higher risk of sensitization and allergic reactions than obese asthmatics with the LOA phenotype. In contrast to the predominance of severe asthma while being treated with corticosteroids, </w:t>
      </w:r>
      <w:proofErr w:type="spellStart"/>
      <w:r w:rsidRPr="001064E0">
        <w:rPr>
          <w:rFonts w:ascii="Arial" w:hAnsi="Arial" w:cs="Arial"/>
          <w:sz w:val="20"/>
          <w:szCs w:val="20"/>
        </w:rPr>
        <w:t>neutrophililic</w:t>
      </w:r>
      <w:proofErr w:type="spellEnd"/>
      <w:r w:rsidRPr="001064E0">
        <w:rPr>
          <w:rFonts w:ascii="Arial" w:hAnsi="Arial" w:cs="Arial"/>
          <w:sz w:val="20"/>
          <w:szCs w:val="20"/>
        </w:rPr>
        <w:t xml:space="preserve"> asthma is related with neutrophils because they are not linked to airway hyperreactivity</w:t>
      </w:r>
      <w:r>
        <w:rPr>
          <w:rFonts w:ascii="Arial" w:hAnsi="Arial" w:cs="Arial"/>
          <w:sz w:val="20"/>
          <w:szCs w:val="20"/>
        </w:rPr>
        <w:t>.</w:t>
      </w:r>
      <w:r>
        <w:rPr>
          <w:rFonts w:ascii="Arial" w:hAnsi="Arial" w:cs="Arial"/>
          <w:sz w:val="20"/>
          <w:szCs w:val="20"/>
          <w:vertAlign w:val="superscript"/>
        </w:rPr>
        <w:t>1,5,6</w:t>
      </w:r>
      <w:r w:rsidRPr="001064E0">
        <w:rPr>
          <w:rFonts w:ascii="Arial" w:hAnsi="Arial" w:cs="Arial"/>
          <w:sz w:val="20"/>
          <w:szCs w:val="20"/>
        </w:rPr>
        <w:t xml:space="preserve"> Clinical phenotypes of asthma include allergic, nonallergic, adult-onset (late-onset), chronic airflow limitation, and obese asthma, according to GINA 2022</w:t>
      </w:r>
      <w:r w:rsidR="00AC42E0" w:rsidRPr="00AC42E0">
        <w:rPr>
          <w:rFonts w:ascii="Arial" w:hAnsi="Arial" w:cs="Arial"/>
          <w:sz w:val="20"/>
          <w:szCs w:val="20"/>
        </w:rPr>
        <w:t>.</w:t>
      </w:r>
      <w:r w:rsidR="00AC42E0" w:rsidRPr="00AC42E0">
        <w:rPr>
          <w:rFonts w:ascii="Arial" w:hAnsi="Arial" w:cs="Arial"/>
          <w:sz w:val="20"/>
          <w:szCs w:val="20"/>
          <w:vertAlign w:val="superscript"/>
        </w:rPr>
        <w:t>1</w:t>
      </w:r>
    </w:p>
    <w:p w14:paraId="2CD5C482" w14:textId="77777777" w:rsidR="0019718A" w:rsidRPr="00AC42E0" w:rsidRDefault="0019718A" w:rsidP="00AC42E0">
      <w:pPr>
        <w:spacing w:after="0" w:line="28" w:lineRule="atLeast"/>
        <w:ind w:firstLine="720"/>
        <w:jc w:val="both"/>
        <w:rPr>
          <w:rFonts w:ascii="Arial" w:hAnsi="Arial" w:cs="Arial"/>
          <w:sz w:val="20"/>
          <w:szCs w:val="20"/>
        </w:rPr>
      </w:pPr>
    </w:p>
    <w:p w14:paraId="1FE08B2A" w14:textId="77777777" w:rsidR="0019718A" w:rsidRPr="00AC42E0" w:rsidRDefault="0019718A" w:rsidP="00AC42E0">
      <w:pPr>
        <w:spacing w:after="0" w:line="28" w:lineRule="atLeast"/>
        <w:ind w:firstLine="720"/>
        <w:jc w:val="both"/>
        <w:rPr>
          <w:rFonts w:ascii="Arial" w:hAnsi="Arial" w:cs="Arial"/>
          <w:b/>
          <w:sz w:val="20"/>
          <w:szCs w:val="20"/>
        </w:rPr>
      </w:pPr>
      <w:r w:rsidRPr="00AC42E0">
        <w:rPr>
          <w:rFonts w:ascii="Arial" w:hAnsi="Arial" w:cs="Arial"/>
          <w:b/>
          <w:sz w:val="20"/>
          <w:szCs w:val="20"/>
        </w:rPr>
        <w:t>Endotype of Severe Asthma</w:t>
      </w:r>
    </w:p>
    <w:p w14:paraId="50D64E69" w14:textId="5A7218F5" w:rsidR="00AC42E0" w:rsidRPr="00AC42E0" w:rsidRDefault="000C6334" w:rsidP="00AC42E0">
      <w:pPr>
        <w:spacing w:after="0" w:line="28" w:lineRule="atLeast"/>
        <w:ind w:firstLine="720"/>
        <w:jc w:val="both"/>
        <w:rPr>
          <w:rFonts w:ascii="Arial" w:hAnsi="Arial" w:cs="Arial"/>
          <w:sz w:val="20"/>
          <w:szCs w:val="20"/>
        </w:rPr>
      </w:pPr>
      <w:r w:rsidRPr="000C6334">
        <w:rPr>
          <w:rFonts w:ascii="Arial" w:hAnsi="Arial" w:cs="Arial"/>
          <w:sz w:val="20"/>
          <w:szCs w:val="20"/>
        </w:rPr>
        <w:t>Based on airway immune-mediated inflammation, type 2 (T2-high asthma) and non-type 2 (T2-low asthma) inflammatory responses are two endotypes of severe asthma (figure 2). Type 2 inflammation is a complex form of inflammation that encompasses innate and adaptive immune responses, asthma risk factors, allergy processes, as well as other inflammations. After allergens have already harmed these cells, dendritic cells start activating airway epithelial cells. Chemokines, which are chemotactic inflammatory mediators produced by epithelial cells, attract dendritic cells to the mucosal epithelium. Mature dendritic cells recognize allergens, present them to T cells via MHC classes I and II for T cell receptor recognition, and cause the activation of Th2 cells as antigen-presenting cells (APC).</w:t>
      </w:r>
      <w:r w:rsidR="00AC42E0" w:rsidRPr="00AC42E0">
        <w:rPr>
          <w:rFonts w:ascii="Arial" w:hAnsi="Arial" w:cs="Arial"/>
          <w:sz w:val="20"/>
          <w:szCs w:val="20"/>
        </w:rPr>
        <w:t>.</w:t>
      </w:r>
      <w:r w:rsidR="00AC42E0" w:rsidRPr="00AC42E0">
        <w:rPr>
          <w:rFonts w:ascii="Arial" w:hAnsi="Arial" w:cs="Arial"/>
          <w:sz w:val="20"/>
          <w:szCs w:val="20"/>
          <w:vertAlign w:val="superscript"/>
        </w:rPr>
        <w:t>5,6</w:t>
      </w:r>
    </w:p>
    <w:p w14:paraId="488ADFEB" w14:textId="2A838566" w:rsidR="00AC42E0" w:rsidRPr="00AC42E0" w:rsidRDefault="000C6334" w:rsidP="00AC42E0">
      <w:pPr>
        <w:spacing w:after="0" w:line="28" w:lineRule="atLeast"/>
        <w:ind w:firstLine="720"/>
        <w:jc w:val="both"/>
        <w:rPr>
          <w:rFonts w:ascii="Arial" w:hAnsi="Arial" w:cs="Arial"/>
          <w:sz w:val="20"/>
          <w:szCs w:val="20"/>
        </w:rPr>
      </w:pPr>
      <w:r w:rsidRPr="000C6334">
        <w:rPr>
          <w:rFonts w:ascii="Arial" w:hAnsi="Arial" w:cs="Arial"/>
          <w:sz w:val="20"/>
          <w:szCs w:val="20"/>
        </w:rPr>
        <w:t xml:space="preserve">When Th2 cells activate IL-5, they also produce eosinophils. </w:t>
      </w:r>
      <w:r w:rsidR="00D815E3" w:rsidRPr="00D815E3">
        <w:rPr>
          <w:rFonts w:ascii="Arial" w:hAnsi="Arial" w:cs="Arial"/>
          <w:sz w:val="20"/>
          <w:szCs w:val="20"/>
        </w:rPr>
        <w:t xml:space="preserve">Once TGF- is produced by these eosinophils, fibroblasts are activated and the smooth muscles of the airways are contracted. Additionally, fibroblasts are stimulated by the IL-4 and IL-13 produced by Th2 cells. Mast cells stimulate Th2 cells, and Th2 cells stimulate B cells to create </w:t>
      </w:r>
      <w:proofErr w:type="spellStart"/>
      <w:r w:rsidR="00D815E3" w:rsidRPr="00D815E3">
        <w:rPr>
          <w:rFonts w:ascii="Arial" w:hAnsi="Arial" w:cs="Arial"/>
          <w:sz w:val="20"/>
          <w:szCs w:val="20"/>
        </w:rPr>
        <w:t>IgE</w:t>
      </w:r>
      <w:proofErr w:type="spellEnd"/>
      <w:r w:rsidR="00D815E3" w:rsidRPr="00D815E3">
        <w:rPr>
          <w:rFonts w:ascii="Arial" w:hAnsi="Arial" w:cs="Arial"/>
          <w:sz w:val="20"/>
          <w:szCs w:val="20"/>
        </w:rPr>
        <w:t>, which constricts the smooth muscle of the airways. Proinflammatory cytokines and chemokines are produced and excreted in part by eosinophils. Nitric oxide (</w:t>
      </w:r>
      <w:proofErr w:type="spellStart"/>
      <w:r w:rsidR="00D815E3" w:rsidRPr="00D815E3">
        <w:rPr>
          <w:rFonts w:ascii="Arial" w:hAnsi="Arial" w:cs="Arial"/>
          <w:sz w:val="20"/>
          <w:szCs w:val="20"/>
        </w:rPr>
        <w:t>FeNO</w:t>
      </w:r>
      <w:proofErr w:type="spellEnd"/>
      <w:r w:rsidR="00D815E3" w:rsidRPr="00D815E3">
        <w:rPr>
          <w:rFonts w:ascii="Arial" w:hAnsi="Arial" w:cs="Arial"/>
          <w:sz w:val="20"/>
          <w:szCs w:val="20"/>
        </w:rPr>
        <w:t xml:space="preserve">), serum </w:t>
      </w:r>
      <w:proofErr w:type="spellStart"/>
      <w:r w:rsidR="00D815E3" w:rsidRPr="00D815E3">
        <w:rPr>
          <w:rFonts w:ascii="Arial" w:hAnsi="Arial" w:cs="Arial"/>
          <w:sz w:val="20"/>
          <w:szCs w:val="20"/>
        </w:rPr>
        <w:t>periostin</w:t>
      </w:r>
      <w:proofErr w:type="spellEnd"/>
      <w:r w:rsidR="00D815E3" w:rsidRPr="00D815E3">
        <w:rPr>
          <w:rFonts w:ascii="Arial" w:hAnsi="Arial" w:cs="Arial"/>
          <w:sz w:val="20"/>
          <w:szCs w:val="20"/>
        </w:rPr>
        <w:t xml:space="preserve"> levels that are higher when there are more eosinophils in the sputum, poor asthma control, and a severe disease profile can all be used to predict severe eosinophilic asthma.</w:t>
      </w:r>
      <w:r w:rsidRPr="000C6334">
        <w:rPr>
          <w:rFonts w:ascii="Arial" w:hAnsi="Arial" w:cs="Arial"/>
          <w:sz w:val="20"/>
          <w:szCs w:val="20"/>
        </w:rPr>
        <w:t xml:space="preserve"> </w:t>
      </w:r>
      <w:r w:rsidR="00D815E3" w:rsidRPr="00D815E3">
        <w:rPr>
          <w:rFonts w:ascii="Arial" w:hAnsi="Arial" w:cs="Arial"/>
          <w:sz w:val="20"/>
          <w:szCs w:val="20"/>
        </w:rPr>
        <w:t xml:space="preserve">On a fundamental level, it is still unknown what is generating the rise in </w:t>
      </w:r>
      <w:proofErr w:type="spellStart"/>
      <w:r w:rsidR="00D815E3" w:rsidRPr="00D815E3">
        <w:rPr>
          <w:rFonts w:ascii="Arial" w:hAnsi="Arial" w:cs="Arial"/>
          <w:sz w:val="20"/>
          <w:szCs w:val="20"/>
        </w:rPr>
        <w:t>FeNO</w:t>
      </w:r>
      <w:proofErr w:type="spellEnd"/>
      <w:r w:rsidR="00D815E3" w:rsidRPr="00D815E3">
        <w:rPr>
          <w:rFonts w:ascii="Arial" w:hAnsi="Arial" w:cs="Arial"/>
          <w:sz w:val="20"/>
          <w:szCs w:val="20"/>
        </w:rPr>
        <w:t xml:space="preserve">. </w:t>
      </w:r>
      <w:proofErr w:type="spellStart"/>
      <w:r w:rsidR="00D815E3" w:rsidRPr="00D815E3">
        <w:rPr>
          <w:rFonts w:ascii="Arial" w:hAnsi="Arial" w:cs="Arial"/>
          <w:sz w:val="20"/>
          <w:szCs w:val="20"/>
        </w:rPr>
        <w:t>Periostin</w:t>
      </w:r>
      <w:proofErr w:type="spellEnd"/>
      <w:r w:rsidR="00D815E3" w:rsidRPr="00D815E3">
        <w:rPr>
          <w:rFonts w:ascii="Arial" w:hAnsi="Arial" w:cs="Arial"/>
          <w:sz w:val="20"/>
          <w:szCs w:val="20"/>
        </w:rPr>
        <w:t xml:space="preserve"> is released by airway fibroblasts and epithelial cells in response to the type 2 cytokines TGF and IL-4/IL-13.</w:t>
      </w:r>
      <w:r w:rsidR="00AC42E0" w:rsidRPr="00AC42E0">
        <w:rPr>
          <w:rFonts w:ascii="Arial" w:hAnsi="Arial" w:cs="Arial"/>
          <w:sz w:val="20"/>
          <w:szCs w:val="20"/>
          <w:vertAlign w:val="superscript"/>
        </w:rPr>
        <w:t>1,5,6</w:t>
      </w:r>
    </w:p>
    <w:p w14:paraId="12BD290B" w14:textId="6FFD4305" w:rsidR="00AC42E0" w:rsidRPr="00AC42E0" w:rsidRDefault="00D815E3" w:rsidP="00AC42E0">
      <w:pPr>
        <w:spacing w:after="0" w:line="28" w:lineRule="atLeast"/>
        <w:ind w:firstLine="720"/>
        <w:jc w:val="both"/>
        <w:rPr>
          <w:rFonts w:ascii="Arial" w:hAnsi="Arial" w:cs="Arial"/>
          <w:sz w:val="20"/>
          <w:szCs w:val="20"/>
        </w:rPr>
      </w:pPr>
      <w:r w:rsidRPr="00D815E3">
        <w:rPr>
          <w:rFonts w:ascii="Arial" w:hAnsi="Arial" w:cs="Arial"/>
          <w:sz w:val="20"/>
          <w:szCs w:val="20"/>
        </w:rPr>
        <w:t>Additionally, substances, cigarette smoke, and lipopolysaccharides (microorganisms) that cause non-type 2 inflammation are activated, as well as the innate immune system, Th1 and Th17 inflammatory pathways</w:t>
      </w:r>
      <w:r w:rsidR="000C6334" w:rsidRPr="000C6334">
        <w:rPr>
          <w:rFonts w:ascii="Arial" w:hAnsi="Arial" w:cs="Arial"/>
          <w:sz w:val="20"/>
          <w:szCs w:val="20"/>
        </w:rPr>
        <w:t>.</w:t>
      </w:r>
      <w:r>
        <w:rPr>
          <w:rFonts w:ascii="Arial" w:hAnsi="Arial" w:cs="Arial"/>
          <w:sz w:val="20"/>
          <w:szCs w:val="20"/>
          <w:vertAlign w:val="superscript"/>
        </w:rPr>
        <w:t>5,6</w:t>
      </w:r>
      <w:r w:rsidR="000C6334" w:rsidRPr="000C6334">
        <w:rPr>
          <w:rFonts w:ascii="Arial" w:hAnsi="Arial" w:cs="Arial"/>
          <w:sz w:val="20"/>
          <w:szCs w:val="20"/>
        </w:rPr>
        <w:t xml:space="preserve"> </w:t>
      </w:r>
      <w:r w:rsidRPr="00D815E3">
        <w:rPr>
          <w:rFonts w:ascii="Arial" w:hAnsi="Arial" w:cs="Arial"/>
          <w:sz w:val="20"/>
          <w:szCs w:val="20"/>
        </w:rPr>
        <w:t xml:space="preserve">IL-8 production, non-type 2 inflammation, high affinity </w:t>
      </w:r>
      <w:proofErr w:type="spellStart"/>
      <w:r w:rsidRPr="00D815E3">
        <w:rPr>
          <w:rFonts w:ascii="Arial" w:hAnsi="Arial" w:cs="Arial"/>
          <w:sz w:val="20"/>
          <w:szCs w:val="20"/>
        </w:rPr>
        <w:t>IgE</w:t>
      </w:r>
      <w:proofErr w:type="spellEnd"/>
      <w:r w:rsidRPr="00D815E3">
        <w:rPr>
          <w:rFonts w:ascii="Arial" w:hAnsi="Arial" w:cs="Arial"/>
          <w:sz w:val="20"/>
          <w:szCs w:val="20"/>
        </w:rPr>
        <w:t xml:space="preserve"> receptor expression, and an increase in neutrophils in the bronchi. Chemotactic cytokines (IL-8 and TNF-), which are secreted by neutrophils, macrophages, and epithelial cells, have an impact on the quantity of neutrophils in the airways. Neutrophils are attracted to IL-17 produced by T cells. Airway </w:t>
      </w:r>
      <w:proofErr w:type="spellStart"/>
      <w:r w:rsidRPr="00D815E3">
        <w:rPr>
          <w:rFonts w:ascii="Arial" w:hAnsi="Arial" w:cs="Arial"/>
          <w:sz w:val="20"/>
          <w:szCs w:val="20"/>
        </w:rPr>
        <w:t>remodeling</w:t>
      </w:r>
      <w:proofErr w:type="spellEnd"/>
      <w:r w:rsidRPr="00D815E3">
        <w:rPr>
          <w:rFonts w:ascii="Arial" w:hAnsi="Arial" w:cs="Arial"/>
          <w:sz w:val="20"/>
          <w:szCs w:val="20"/>
        </w:rPr>
        <w:t xml:space="preserve"> brought on by increased mucus production, airway smooth muscle hyperplasia/hypertrophy, and goblet cell metaplasia/hyperplasia define non-type 2 asthma</w:t>
      </w:r>
      <w:r w:rsidR="000C6334" w:rsidRPr="000C6334">
        <w:rPr>
          <w:rFonts w:ascii="Arial" w:hAnsi="Arial" w:cs="Arial"/>
          <w:sz w:val="20"/>
          <w:szCs w:val="20"/>
        </w:rPr>
        <w:t xml:space="preserve">. </w:t>
      </w:r>
      <w:r w:rsidRPr="00D815E3">
        <w:rPr>
          <w:rFonts w:ascii="Arial" w:hAnsi="Arial" w:cs="Arial"/>
          <w:sz w:val="20"/>
          <w:szCs w:val="20"/>
        </w:rPr>
        <w:t xml:space="preserve">Non-type 2 asthma also has a function in neutrophil or </w:t>
      </w:r>
      <w:proofErr w:type="spellStart"/>
      <w:r w:rsidRPr="00D815E3">
        <w:rPr>
          <w:rFonts w:ascii="Arial" w:hAnsi="Arial" w:cs="Arial"/>
          <w:sz w:val="20"/>
          <w:szCs w:val="20"/>
        </w:rPr>
        <w:t>paucigranulocytic</w:t>
      </w:r>
      <w:proofErr w:type="spellEnd"/>
      <w:r w:rsidRPr="00D815E3">
        <w:rPr>
          <w:rFonts w:ascii="Arial" w:hAnsi="Arial" w:cs="Arial"/>
          <w:sz w:val="20"/>
          <w:szCs w:val="20"/>
        </w:rPr>
        <w:t xml:space="preserve"> inflammation that produces IL-8 and IL-17.</w:t>
      </w:r>
      <w:r w:rsidRPr="00D815E3">
        <w:rPr>
          <w:rFonts w:ascii="Arial" w:hAnsi="Arial" w:cs="Arial"/>
          <w:sz w:val="20"/>
          <w:szCs w:val="20"/>
        </w:rPr>
        <w:t xml:space="preserve"> </w:t>
      </w:r>
      <w:r w:rsidR="00AC42E0" w:rsidRPr="00AC42E0">
        <w:rPr>
          <w:rFonts w:ascii="Arial" w:hAnsi="Arial" w:cs="Arial"/>
          <w:sz w:val="20"/>
          <w:szCs w:val="20"/>
          <w:vertAlign w:val="superscript"/>
        </w:rPr>
        <w:t>5,6</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19718A" w:rsidRPr="00AC42E0" w14:paraId="2AA0A721" w14:textId="77777777" w:rsidTr="0030269D">
        <w:tc>
          <w:tcPr>
            <w:tcW w:w="9026" w:type="dxa"/>
          </w:tcPr>
          <w:p w14:paraId="7A019AE8" w14:textId="77777777"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hAnsi="Arial" w:cs="Arial"/>
                <w:noProof/>
                <w:sz w:val="20"/>
                <w:szCs w:val="20"/>
              </w:rPr>
              <w:lastRenderedPageBreak/>
              <w:drawing>
                <wp:anchor distT="0" distB="0" distL="114300" distR="114300" simplePos="0" relativeHeight="251665408" behindDoc="0" locked="0" layoutInCell="1" hidden="0" allowOverlap="1" wp14:anchorId="35E14270" wp14:editId="1DBE8108">
                  <wp:simplePos x="0" y="0"/>
                  <wp:positionH relativeFrom="column">
                    <wp:posOffset>-68580</wp:posOffset>
                  </wp:positionH>
                  <wp:positionV relativeFrom="paragraph">
                    <wp:posOffset>108585</wp:posOffset>
                  </wp:positionV>
                  <wp:extent cx="2703195" cy="2480310"/>
                  <wp:effectExtent l="0" t="0" r="1905" b="0"/>
                  <wp:wrapSquare wrapText="bothSides" distT="0" distB="0" distL="114300" distR="114300"/>
                  <wp:docPr id="488058759" name="Picture 488058759"/>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l="26218" t="28289" r="18414" b="6353"/>
                          <a:stretch>
                            <a:fillRect/>
                          </a:stretch>
                        </pic:blipFill>
                        <pic:spPr>
                          <a:xfrm>
                            <a:off x="0" y="0"/>
                            <a:ext cx="2703195" cy="2480310"/>
                          </a:xfrm>
                          <a:prstGeom prst="rect">
                            <a:avLst/>
                          </a:prstGeom>
                          <a:ln/>
                        </pic:spPr>
                      </pic:pic>
                    </a:graphicData>
                  </a:graphic>
                  <wp14:sizeRelH relativeFrom="margin">
                    <wp14:pctWidth>0</wp14:pctWidth>
                  </wp14:sizeRelH>
                  <wp14:sizeRelV relativeFrom="margin">
                    <wp14:pctHeight>0</wp14:pctHeight>
                  </wp14:sizeRelV>
                </wp:anchor>
              </w:drawing>
            </w:r>
          </w:p>
        </w:tc>
      </w:tr>
      <w:tr w:rsidR="0019718A" w:rsidRPr="00AC42E0" w14:paraId="3C53ECD1" w14:textId="77777777" w:rsidTr="0030269D">
        <w:tc>
          <w:tcPr>
            <w:tcW w:w="9026" w:type="dxa"/>
          </w:tcPr>
          <w:p w14:paraId="7038564E" w14:textId="77777777" w:rsidR="0019718A" w:rsidRPr="00AC42E0" w:rsidRDefault="0019718A" w:rsidP="00AC42E0">
            <w:pPr>
              <w:spacing w:after="0" w:line="28" w:lineRule="atLeast"/>
              <w:ind w:firstLine="720"/>
              <w:jc w:val="both"/>
              <w:rPr>
                <w:rFonts w:ascii="Arial" w:eastAsia="Times New Roman" w:hAnsi="Arial" w:cs="Arial"/>
                <w:sz w:val="20"/>
                <w:szCs w:val="20"/>
              </w:rPr>
            </w:pPr>
          </w:p>
        </w:tc>
      </w:tr>
    </w:tbl>
    <w:p w14:paraId="7AB0D8C7" w14:textId="77777777" w:rsidR="0019718A" w:rsidRPr="00AC42E0" w:rsidRDefault="0019718A" w:rsidP="00AC42E0">
      <w:pPr>
        <w:spacing w:after="0" w:line="28" w:lineRule="atLeast"/>
        <w:ind w:firstLine="720"/>
        <w:jc w:val="both"/>
        <w:rPr>
          <w:rFonts w:ascii="Arial" w:hAnsi="Arial" w:cs="Arial"/>
          <w:sz w:val="20"/>
          <w:szCs w:val="20"/>
          <w:vertAlign w:val="superscript"/>
        </w:rPr>
      </w:pPr>
      <w:r w:rsidRPr="00AC42E0">
        <w:rPr>
          <w:rFonts w:ascii="Arial" w:hAnsi="Arial" w:cs="Arial"/>
          <w:b/>
          <w:bCs/>
          <w:sz w:val="20"/>
          <w:szCs w:val="20"/>
        </w:rPr>
        <w:t>Figure 2.</w:t>
      </w:r>
      <w:r w:rsidRPr="00AC42E0">
        <w:rPr>
          <w:rFonts w:ascii="Arial" w:hAnsi="Arial" w:cs="Arial"/>
          <w:sz w:val="20"/>
          <w:szCs w:val="20"/>
        </w:rPr>
        <w:t xml:space="preserve"> Type 2 inflammation and non-type 2 inflammation in severe asthma</w:t>
      </w:r>
      <w:r w:rsidRPr="00AC42E0">
        <w:rPr>
          <w:rFonts w:ascii="Arial" w:hAnsi="Arial" w:cs="Arial"/>
          <w:sz w:val="20"/>
          <w:szCs w:val="20"/>
          <w:vertAlign w:val="superscript"/>
        </w:rPr>
        <w:t>5</w:t>
      </w:r>
    </w:p>
    <w:p w14:paraId="6D7935BD" w14:textId="77777777" w:rsidR="0019718A" w:rsidRPr="00AC42E0" w:rsidRDefault="0019718A" w:rsidP="00AC42E0">
      <w:pPr>
        <w:spacing w:after="0" w:line="28" w:lineRule="atLeast"/>
        <w:ind w:firstLine="720"/>
        <w:jc w:val="both"/>
        <w:rPr>
          <w:rFonts w:ascii="Arial" w:hAnsi="Arial" w:cs="Arial"/>
          <w:sz w:val="20"/>
          <w:szCs w:val="20"/>
        </w:rPr>
      </w:pPr>
    </w:p>
    <w:p w14:paraId="5E0F7FC8" w14:textId="77777777" w:rsidR="0019718A" w:rsidRPr="00AC42E0" w:rsidRDefault="0019718A" w:rsidP="000C6334">
      <w:pPr>
        <w:spacing w:after="0" w:line="28" w:lineRule="atLeast"/>
        <w:jc w:val="both"/>
        <w:rPr>
          <w:rFonts w:ascii="Arial" w:hAnsi="Arial" w:cs="Arial"/>
          <w:b/>
          <w:sz w:val="20"/>
          <w:szCs w:val="20"/>
        </w:rPr>
      </w:pPr>
      <w:r w:rsidRPr="00AC42E0">
        <w:rPr>
          <w:rFonts w:ascii="Arial" w:hAnsi="Arial" w:cs="Arial"/>
          <w:b/>
          <w:sz w:val="20"/>
          <w:szCs w:val="20"/>
        </w:rPr>
        <w:t>Severe Asthma Biomarkers</w:t>
      </w:r>
    </w:p>
    <w:p w14:paraId="79754B19" w14:textId="7995F5CD" w:rsidR="00AC42E0" w:rsidRPr="00AC42E0" w:rsidRDefault="000C6334" w:rsidP="00AC42E0">
      <w:pPr>
        <w:spacing w:after="0" w:line="28" w:lineRule="atLeast"/>
        <w:ind w:firstLine="720"/>
        <w:jc w:val="both"/>
        <w:rPr>
          <w:rFonts w:ascii="Arial" w:hAnsi="Arial" w:cs="Arial"/>
          <w:sz w:val="20"/>
          <w:szCs w:val="20"/>
        </w:rPr>
      </w:pPr>
      <w:r w:rsidRPr="000C6334">
        <w:rPr>
          <w:rFonts w:ascii="Arial" w:hAnsi="Arial" w:cs="Arial"/>
          <w:sz w:val="20"/>
          <w:szCs w:val="20"/>
        </w:rPr>
        <w:t xml:space="preserve">A biomarker is an indicator that links phenotype and endotype. Indicators can be measured and evaluated using a variety of biological materials, including sputum, </w:t>
      </w:r>
      <w:proofErr w:type="spellStart"/>
      <w:r w:rsidRPr="000C6334">
        <w:rPr>
          <w:rFonts w:ascii="Arial" w:hAnsi="Arial" w:cs="Arial"/>
          <w:sz w:val="20"/>
          <w:szCs w:val="20"/>
        </w:rPr>
        <w:t>brocoalveolar</w:t>
      </w:r>
      <w:proofErr w:type="spellEnd"/>
      <w:r w:rsidRPr="000C6334">
        <w:rPr>
          <w:rFonts w:ascii="Arial" w:hAnsi="Arial" w:cs="Arial"/>
          <w:sz w:val="20"/>
          <w:szCs w:val="20"/>
        </w:rPr>
        <w:t xml:space="preserve"> lavage (BAL), exhaled breath condensate (EBC), bronchial biopsies, urine, and blood. </w:t>
      </w:r>
      <w:r w:rsidR="00D815E3" w:rsidRPr="00D815E3">
        <w:rPr>
          <w:rFonts w:ascii="Arial" w:hAnsi="Arial" w:cs="Arial"/>
          <w:sz w:val="20"/>
          <w:szCs w:val="20"/>
        </w:rPr>
        <w:t xml:space="preserve">The effectiveness of various therapy approaches may be evaluated using biomarkers, as can the chance that a disease would emerge and the distinction between type 2 and non-type 2 inflammatory endotypes. Additionally, they can be used to predict how patients will respond to particular therapies, such as T2 cytokine-targeted therapy.15-18,32 The biomarkers for asthma are grouped by sample in Table 2. Through bronchoscopy, bronchial biopsy, and BAL examination, inflammation and asthma </w:t>
      </w:r>
      <w:proofErr w:type="spellStart"/>
      <w:r w:rsidR="00D815E3" w:rsidRPr="00D815E3">
        <w:rPr>
          <w:rFonts w:ascii="Arial" w:hAnsi="Arial" w:cs="Arial"/>
          <w:sz w:val="20"/>
          <w:szCs w:val="20"/>
        </w:rPr>
        <w:t>remodeling</w:t>
      </w:r>
      <w:proofErr w:type="spellEnd"/>
      <w:r w:rsidR="00D815E3" w:rsidRPr="00D815E3">
        <w:rPr>
          <w:rFonts w:ascii="Arial" w:hAnsi="Arial" w:cs="Arial"/>
          <w:sz w:val="20"/>
          <w:szCs w:val="20"/>
        </w:rPr>
        <w:t xml:space="preserve"> are assessed. For the evaluation of asthma, particularly in patients with severe asthma, biomarkers alone or in combination are recommended.</w:t>
      </w:r>
      <w:r w:rsidR="00006537" w:rsidRPr="00006537">
        <w:rPr>
          <w:rFonts w:ascii="Arial" w:hAnsi="Arial" w:cs="Arial"/>
          <w:sz w:val="20"/>
          <w:szCs w:val="20"/>
        </w:rPr>
        <w:t xml:space="preserve"> </w:t>
      </w:r>
      <w:r w:rsidR="00D815E3" w:rsidRPr="00D815E3">
        <w:rPr>
          <w:rFonts w:ascii="Arial" w:hAnsi="Arial" w:cs="Arial"/>
          <w:sz w:val="20"/>
          <w:szCs w:val="20"/>
        </w:rPr>
        <w:t xml:space="preserve">Type 2 inflammation can be detected by the presence of </w:t>
      </w:r>
      <w:proofErr w:type="spellStart"/>
      <w:r w:rsidR="00D815E3" w:rsidRPr="00D815E3">
        <w:rPr>
          <w:rFonts w:ascii="Arial" w:hAnsi="Arial" w:cs="Arial"/>
          <w:sz w:val="20"/>
          <w:szCs w:val="20"/>
        </w:rPr>
        <w:t>periostin</w:t>
      </w:r>
      <w:proofErr w:type="spellEnd"/>
      <w:r w:rsidR="00D815E3" w:rsidRPr="00D815E3">
        <w:rPr>
          <w:rFonts w:ascii="Arial" w:hAnsi="Arial" w:cs="Arial"/>
          <w:sz w:val="20"/>
          <w:szCs w:val="20"/>
        </w:rPr>
        <w:t xml:space="preserve">, </w:t>
      </w:r>
      <w:proofErr w:type="spellStart"/>
      <w:r w:rsidR="00D815E3" w:rsidRPr="00D815E3">
        <w:rPr>
          <w:rFonts w:ascii="Arial" w:hAnsi="Arial" w:cs="Arial"/>
          <w:sz w:val="20"/>
          <w:szCs w:val="20"/>
        </w:rPr>
        <w:t>FeNO</w:t>
      </w:r>
      <w:proofErr w:type="spellEnd"/>
      <w:r w:rsidR="00D815E3" w:rsidRPr="00D815E3">
        <w:rPr>
          <w:rFonts w:ascii="Arial" w:hAnsi="Arial" w:cs="Arial"/>
          <w:sz w:val="20"/>
          <w:szCs w:val="20"/>
        </w:rPr>
        <w:t xml:space="preserve">, serum </w:t>
      </w:r>
      <w:proofErr w:type="spellStart"/>
      <w:r w:rsidR="00D815E3" w:rsidRPr="00D815E3">
        <w:rPr>
          <w:rFonts w:ascii="Arial" w:hAnsi="Arial" w:cs="Arial"/>
          <w:sz w:val="20"/>
          <w:szCs w:val="20"/>
        </w:rPr>
        <w:t>IgE</w:t>
      </w:r>
      <w:proofErr w:type="spellEnd"/>
      <w:r w:rsidR="00D815E3" w:rsidRPr="00D815E3">
        <w:rPr>
          <w:rFonts w:ascii="Arial" w:hAnsi="Arial" w:cs="Arial"/>
          <w:sz w:val="20"/>
          <w:szCs w:val="20"/>
        </w:rPr>
        <w:t xml:space="preserve">, and blood or sputum eosinophils. A poor response to corticosteroid treatment and </w:t>
      </w:r>
      <w:proofErr w:type="spellStart"/>
      <w:r w:rsidR="00D815E3" w:rsidRPr="00D815E3">
        <w:rPr>
          <w:rFonts w:ascii="Arial" w:hAnsi="Arial" w:cs="Arial"/>
          <w:sz w:val="20"/>
          <w:szCs w:val="20"/>
        </w:rPr>
        <w:t>neutrophililic</w:t>
      </w:r>
      <w:proofErr w:type="spellEnd"/>
      <w:r w:rsidR="00D815E3" w:rsidRPr="00D815E3">
        <w:rPr>
          <w:rFonts w:ascii="Arial" w:hAnsi="Arial" w:cs="Arial"/>
          <w:sz w:val="20"/>
          <w:szCs w:val="20"/>
        </w:rPr>
        <w:t xml:space="preserve"> (sputum neutrophils &gt;40%-60%) or </w:t>
      </w:r>
      <w:proofErr w:type="spellStart"/>
      <w:r w:rsidR="00D815E3" w:rsidRPr="00D815E3">
        <w:rPr>
          <w:rFonts w:ascii="Arial" w:hAnsi="Arial" w:cs="Arial"/>
          <w:sz w:val="20"/>
          <w:szCs w:val="20"/>
        </w:rPr>
        <w:t>paucigranulocytic</w:t>
      </w:r>
      <w:proofErr w:type="spellEnd"/>
      <w:r w:rsidR="00D815E3" w:rsidRPr="00D815E3">
        <w:rPr>
          <w:rFonts w:ascii="Arial" w:hAnsi="Arial" w:cs="Arial"/>
          <w:sz w:val="20"/>
          <w:szCs w:val="20"/>
        </w:rPr>
        <w:t xml:space="preserve"> (sputum eosinophils and neutrophils normal) inflammation are characteristics of non-type 2 inflammation. The ability of neutrophils, a non-type 2 inflammatory biomarker, to predict asthma severity and anti-inflammatory mechanisms is limited.</w:t>
      </w:r>
      <w:r w:rsidR="00AC42E0" w:rsidRPr="00AC42E0">
        <w:rPr>
          <w:rFonts w:ascii="Arial" w:hAnsi="Arial" w:cs="Arial"/>
          <w:sz w:val="20"/>
          <w:szCs w:val="20"/>
          <w:vertAlign w:val="superscript"/>
        </w:rPr>
        <w:t>13</w:t>
      </w:r>
    </w:p>
    <w:tbl>
      <w:tblPr>
        <w:tblW w:w="4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8"/>
        <w:gridCol w:w="1471"/>
        <w:gridCol w:w="1467"/>
      </w:tblGrid>
      <w:tr w:rsidR="0019718A" w:rsidRPr="00AC42E0" w14:paraId="0D893A78" w14:textId="77777777" w:rsidTr="0030269D">
        <w:trPr>
          <w:trHeight w:val="417"/>
        </w:trPr>
        <w:tc>
          <w:tcPr>
            <w:tcW w:w="4406" w:type="dxa"/>
            <w:gridSpan w:val="3"/>
            <w:tcBorders>
              <w:top w:val="nil"/>
              <w:left w:val="nil"/>
              <w:bottom w:val="single" w:sz="4" w:space="0" w:color="000000"/>
              <w:right w:val="nil"/>
            </w:tcBorders>
            <w:vAlign w:val="center"/>
          </w:tcPr>
          <w:p w14:paraId="6168D391" w14:textId="77777777"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eastAsia="Times New Roman" w:hAnsi="Arial" w:cs="Arial"/>
                <w:b/>
                <w:bCs/>
                <w:sz w:val="20"/>
                <w:szCs w:val="20"/>
              </w:rPr>
              <w:t>Table 2.</w:t>
            </w:r>
            <w:r w:rsidRPr="00AC42E0">
              <w:rPr>
                <w:rFonts w:ascii="Arial" w:eastAsia="Times New Roman" w:hAnsi="Arial" w:cs="Arial"/>
                <w:sz w:val="20"/>
                <w:szCs w:val="20"/>
              </w:rPr>
              <w:t xml:space="preserve"> Severe asthma biomarkers</w:t>
            </w:r>
            <w:r w:rsidRPr="00AC42E0">
              <w:rPr>
                <w:rFonts w:ascii="Arial" w:eastAsia="Times New Roman" w:hAnsi="Arial" w:cs="Arial"/>
                <w:sz w:val="20"/>
                <w:szCs w:val="20"/>
                <w:vertAlign w:val="superscript"/>
              </w:rPr>
              <w:t>16</w:t>
            </w:r>
          </w:p>
        </w:tc>
      </w:tr>
      <w:tr w:rsidR="0019718A" w:rsidRPr="00AC42E0" w14:paraId="1A043A4D" w14:textId="77777777" w:rsidTr="0030269D">
        <w:trPr>
          <w:trHeight w:val="402"/>
        </w:trPr>
        <w:tc>
          <w:tcPr>
            <w:tcW w:w="1468" w:type="dxa"/>
            <w:tcBorders>
              <w:top w:val="single" w:sz="4" w:space="0" w:color="000000"/>
            </w:tcBorders>
            <w:vAlign w:val="center"/>
          </w:tcPr>
          <w:p w14:paraId="6494CA6F" w14:textId="77777777" w:rsidR="0019718A" w:rsidRPr="00AC42E0" w:rsidRDefault="0019718A" w:rsidP="00D815E3">
            <w:pPr>
              <w:spacing w:after="0" w:line="28" w:lineRule="atLeast"/>
              <w:jc w:val="both"/>
              <w:rPr>
                <w:rFonts w:ascii="Arial" w:eastAsia="Times New Roman" w:hAnsi="Arial" w:cs="Arial"/>
                <w:b/>
                <w:i/>
                <w:sz w:val="20"/>
                <w:szCs w:val="20"/>
              </w:rPr>
            </w:pPr>
            <w:r w:rsidRPr="00AC42E0">
              <w:rPr>
                <w:rFonts w:ascii="Arial" w:eastAsia="Times New Roman" w:hAnsi="Arial" w:cs="Arial"/>
                <w:b/>
                <w:i/>
                <w:sz w:val="20"/>
                <w:szCs w:val="20"/>
              </w:rPr>
              <w:t>Biomarker</w:t>
            </w:r>
          </w:p>
        </w:tc>
        <w:tc>
          <w:tcPr>
            <w:tcW w:w="1471" w:type="dxa"/>
            <w:tcBorders>
              <w:top w:val="single" w:sz="4" w:space="0" w:color="000000"/>
            </w:tcBorders>
            <w:vAlign w:val="center"/>
          </w:tcPr>
          <w:p w14:paraId="3B26F10C" w14:textId="77777777" w:rsidR="0019718A" w:rsidRPr="00AC42E0" w:rsidRDefault="0019718A" w:rsidP="00D815E3">
            <w:pPr>
              <w:spacing w:after="0" w:line="28" w:lineRule="atLeast"/>
              <w:jc w:val="both"/>
              <w:rPr>
                <w:rFonts w:ascii="Arial" w:eastAsia="Times New Roman" w:hAnsi="Arial" w:cs="Arial"/>
                <w:b/>
                <w:sz w:val="20"/>
                <w:szCs w:val="20"/>
              </w:rPr>
            </w:pPr>
            <w:r w:rsidRPr="00AC42E0">
              <w:rPr>
                <w:rFonts w:ascii="Arial" w:eastAsia="Times New Roman" w:hAnsi="Arial" w:cs="Arial"/>
                <w:b/>
                <w:sz w:val="20"/>
                <w:szCs w:val="20"/>
              </w:rPr>
              <w:t>Sample type</w:t>
            </w:r>
          </w:p>
        </w:tc>
        <w:tc>
          <w:tcPr>
            <w:tcW w:w="1466" w:type="dxa"/>
            <w:tcBorders>
              <w:top w:val="single" w:sz="4" w:space="0" w:color="000000"/>
            </w:tcBorders>
            <w:vAlign w:val="center"/>
          </w:tcPr>
          <w:p w14:paraId="5FFA2257" w14:textId="77777777" w:rsidR="0019718A" w:rsidRPr="00AC42E0" w:rsidRDefault="0019718A" w:rsidP="00D815E3">
            <w:pPr>
              <w:spacing w:after="0" w:line="28" w:lineRule="atLeast"/>
              <w:jc w:val="both"/>
              <w:rPr>
                <w:rFonts w:ascii="Arial" w:eastAsia="Times New Roman" w:hAnsi="Arial" w:cs="Arial"/>
                <w:b/>
                <w:sz w:val="20"/>
                <w:szCs w:val="20"/>
              </w:rPr>
            </w:pPr>
            <w:r w:rsidRPr="00AC42E0">
              <w:rPr>
                <w:rFonts w:ascii="Arial" w:eastAsia="Times New Roman" w:hAnsi="Arial" w:cs="Arial"/>
                <w:b/>
                <w:sz w:val="20"/>
                <w:szCs w:val="20"/>
              </w:rPr>
              <w:t>Associated asthma endotypes</w:t>
            </w:r>
          </w:p>
        </w:tc>
      </w:tr>
      <w:tr w:rsidR="0019718A" w:rsidRPr="00AC42E0" w14:paraId="13600146" w14:textId="77777777" w:rsidTr="0030269D">
        <w:trPr>
          <w:trHeight w:val="402"/>
        </w:trPr>
        <w:tc>
          <w:tcPr>
            <w:tcW w:w="1468" w:type="dxa"/>
            <w:vAlign w:val="center"/>
          </w:tcPr>
          <w:p w14:paraId="2F3D5585"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Eosinophils</w:t>
            </w:r>
          </w:p>
        </w:tc>
        <w:tc>
          <w:tcPr>
            <w:tcW w:w="1471" w:type="dxa"/>
            <w:vAlign w:val="center"/>
          </w:tcPr>
          <w:p w14:paraId="5F0695F9"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Serum, sputum</w:t>
            </w:r>
          </w:p>
        </w:tc>
        <w:tc>
          <w:tcPr>
            <w:tcW w:w="1466" w:type="dxa"/>
            <w:vAlign w:val="center"/>
          </w:tcPr>
          <w:p w14:paraId="1AB45650"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Type-2</w:t>
            </w:r>
          </w:p>
        </w:tc>
      </w:tr>
      <w:tr w:rsidR="0019718A" w:rsidRPr="00AC42E0" w14:paraId="09F1E59D" w14:textId="77777777" w:rsidTr="0030269D">
        <w:trPr>
          <w:trHeight w:val="417"/>
        </w:trPr>
        <w:tc>
          <w:tcPr>
            <w:tcW w:w="1468" w:type="dxa"/>
            <w:vAlign w:val="center"/>
          </w:tcPr>
          <w:p w14:paraId="651D9579"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Neutrophils</w:t>
            </w:r>
          </w:p>
        </w:tc>
        <w:tc>
          <w:tcPr>
            <w:tcW w:w="1471" w:type="dxa"/>
            <w:vAlign w:val="center"/>
          </w:tcPr>
          <w:p w14:paraId="3AFC21E4"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Sputum</w:t>
            </w:r>
          </w:p>
        </w:tc>
        <w:tc>
          <w:tcPr>
            <w:tcW w:w="1466" w:type="dxa"/>
            <w:vAlign w:val="center"/>
          </w:tcPr>
          <w:p w14:paraId="75AD06FC"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Type-2/non-type-2</w:t>
            </w:r>
          </w:p>
        </w:tc>
      </w:tr>
      <w:tr w:rsidR="0019718A" w:rsidRPr="00AC42E0" w14:paraId="00A2F2E1" w14:textId="77777777" w:rsidTr="0030269D">
        <w:trPr>
          <w:trHeight w:val="402"/>
        </w:trPr>
        <w:tc>
          <w:tcPr>
            <w:tcW w:w="1468" w:type="dxa"/>
            <w:vAlign w:val="center"/>
          </w:tcPr>
          <w:p w14:paraId="20027973" w14:textId="77777777" w:rsidR="0019718A" w:rsidRPr="00AC42E0" w:rsidRDefault="0019718A" w:rsidP="00D815E3">
            <w:pPr>
              <w:spacing w:after="0" w:line="28" w:lineRule="atLeast"/>
              <w:jc w:val="both"/>
              <w:rPr>
                <w:rFonts w:ascii="Arial" w:eastAsia="Times New Roman" w:hAnsi="Arial" w:cs="Arial"/>
                <w:sz w:val="20"/>
                <w:szCs w:val="20"/>
              </w:rPr>
            </w:pPr>
            <w:proofErr w:type="spellStart"/>
            <w:r w:rsidRPr="00AC42E0">
              <w:rPr>
                <w:rFonts w:ascii="Arial" w:eastAsia="Times New Roman" w:hAnsi="Arial" w:cs="Arial"/>
                <w:sz w:val="20"/>
                <w:szCs w:val="20"/>
              </w:rPr>
              <w:t>IgE</w:t>
            </w:r>
            <w:proofErr w:type="spellEnd"/>
          </w:p>
        </w:tc>
        <w:tc>
          <w:tcPr>
            <w:tcW w:w="1471" w:type="dxa"/>
            <w:vAlign w:val="center"/>
          </w:tcPr>
          <w:p w14:paraId="19F9FA36"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Serum</w:t>
            </w:r>
          </w:p>
        </w:tc>
        <w:tc>
          <w:tcPr>
            <w:tcW w:w="1466" w:type="dxa"/>
            <w:vAlign w:val="center"/>
          </w:tcPr>
          <w:p w14:paraId="26009D65"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Type-2</w:t>
            </w:r>
          </w:p>
        </w:tc>
      </w:tr>
      <w:tr w:rsidR="0019718A" w:rsidRPr="00AC42E0" w14:paraId="00ED1E09" w14:textId="77777777" w:rsidTr="0030269D">
        <w:trPr>
          <w:trHeight w:val="402"/>
        </w:trPr>
        <w:tc>
          <w:tcPr>
            <w:tcW w:w="1468" w:type="dxa"/>
            <w:vAlign w:val="center"/>
          </w:tcPr>
          <w:p w14:paraId="064C4449" w14:textId="77777777" w:rsidR="0019718A" w:rsidRPr="00AC42E0" w:rsidRDefault="0019718A" w:rsidP="00D815E3">
            <w:pPr>
              <w:spacing w:after="0" w:line="28" w:lineRule="atLeast"/>
              <w:jc w:val="both"/>
              <w:rPr>
                <w:rFonts w:ascii="Arial" w:eastAsia="Times New Roman" w:hAnsi="Arial" w:cs="Arial"/>
                <w:sz w:val="20"/>
                <w:szCs w:val="20"/>
              </w:rPr>
            </w:pPr>
            <w:proofErr w:type="spellStart"/>
            <w:r w:rsidRPr="00AC42E0">
              <w:rPr>
                <w:rFonts w:ascii="Arial" w:eastAsia="Times New Roman" w:hAnsi="Arial" w:cs="Arial"/>
                <w:sz w:val="20"/>
                <w:szCs w:val="20"/>
              </w:rPr>
              <w:t>Periostin</w:t>
            </w:r>
            <w:proofErr w:type="spellEnd"/>
          </w:p>
        </w:tc>
        <w:tc>
          <w:tcPr>
            <w:tcW w:w="1471" w:type="dxa"/>
            <w:vAlign w:val="center"/>
          </w:tcPr>
          <w:p w14:paraId="36E44DE2"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Serum</w:t>
            </w:r>
          </w:p>
        </w:tc>
        <w:tc>
          <w:tcPr>
            <w:tcW w:w="1466" w:type="dxa"/>
            <w:vAlign w:val="center"/>
          </w:tcPr>
          <w:p w14:paraId="6F8CA043"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Type-2</w:t>
            </w:r>
          </w:p>
        </w:tc>
      </w:tr>
      <w:tr w:rsidR="0019718A" w:rsidRPr="00AC42E0" w14:paraId="1BBEB4B5" w14:textId="77777777" w:rsidTr="0030269D">
        <w:trPr>
          <w:trHeight w:val="820"/>
        </w:trPr>
        <w:tc>
          <w:tcPr>
            <w:tcW w:w="1468" w:type="dxa"/>
            <w:vAlign w:val="center"/>
          </w:tcPr>
          <w:p w14:paraId="23A5DDC4" w14:textId="77777777" w:rsidR="0019718A" w:rsidRPr="00AC42E0" w:rsidRDefault="0019718A" w:rsidP="00D815E3">
            <w:pPr>
              <w:spacing w:after="0" w:line="28" w:lineRule="atLeast"/>
              <w:jc w:val="both"/>
              <w:rPr>
                <w:rFonts w:ascii="Arial" w:eastAsia="Times New Roman" w:hAnsi="Arial" w:cs="Arial"/>
                <w:sz w:val="20"/>
                <w:szCs w:val="20"/>
              </w:rPr>
            </w:pPr>
            <w:proofErr w:type="spellStart"/>
            <w:r w:rsidRPr="00AC42E0">
              <w:rPr>
                <w:rFonts w:ascii="Arial" w:eastAsia="Times New Roman" w:hAnsi="Arial" w:cs="Arial"/>
                <w:sz w:val="20"/>
                <w:szCs w:val="20"/>
              </w:rPr>
              <w:t>FeNO</w:t>
            </w:r>
            <w:proofErr w:type="spellEnd"/>
            <w:r w:rsidRPr="00AC42E0">
              <w:rPr>
                <w:rFonts w:ascii="Arial" w:eastAsia="Times New Roman" w:hAnsi="Arial" w:cs="Arial"/>
                <w:sz w:val="20"/>
                <w:szCs w:val="20"/>
              </w:rPr>
              <w:t xml:space="preserve"> (</w:t>
            </w:r>
            <w:r w:rsidRPr="00AC42E0">
              <w:rPr>
                <w:rFonts w:ascii="Arial" w:eastAsia="Times New Roman" w:hAnsi="Arial" w:cs="Arial"/>
                <w:i/>
                <w:sz w:val="20"/>
                <w:szCs w:val="20"/>
              </w:rPr>
              <w:t>fractional exhaled nitric oxide</w:t>
            </w:r>
            <w:r w:rsidRPr="00AC42E0">
              <w:rPr>
                <w:rFonts w:ascii="Arial" w:eastAsia="Times New Roman" w:hAnsi="Arial" w:cs="Arial"/>
                <w:sz w:val="20"/>
                <w:szCs w:val="20"/>
              </w:rPr>
              <w:t>)</w:t>
            </w:r>
          </w:p>
        </w:tc>
        <w:tc>
          <w:tcPr>
            <w:tcW w:w="1471" w:type="dxa"/>
            <w:vAlign w:val="center"/>
          </w:tcPr>
          <w:p w14:paraId="2D397F46"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Exhaled air</w:t>
            </w:r>
          </w:p>
        </w:tc>
        <w:tc>
          <w:tcPr>
            <w:tcW w:w="1466" w:type="dxa"/>
            <w:vAlign w:val="center"/>
          </w:tcPr>
          <w:p w14:paraId="11D461F5"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Type-2</w:t>
            </w:r>
          </w:p>
        </w:tc>
      </w:tr>
      <w:tr w:rsidR="0019718A" w:rsidRPr="00AC42E0" w14:paraId="432373AE" w14:textId="77777777" w:rsidTr="0030269D">
        <w:trPr>
          <w:trHeight w:val="417"/>
        </w:trPr>
        <w:tc>
          <w:tcPr>
            <w:tcW w:w="1468" w:type="dxa"/>
            <w:vAlign w:val="center"/>
          </w:tcPr>
          <w:p w14:paraId="7E274487"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IL-17</w:t>
            </w:r>
          </w:p>
        </w:tc>
        <w:tc>
          <w:tcPr>
            <w:tcW w:w="1471" w:type="dxa"/>
            <w:vAlign w:val="center"/>
          </w:tcPr>
          <w:p w14:paraId="437CDD26"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Serum</w:t>
            </w:r>
          </w:p>
        </w:tc>
        <w:tc>
          <w:tcPr>
            <w:tcW w:w="1466" w:type="dxa"/>
            <w:vAlign w:val="center"/>
          </w:tcPr>
          <w:p w14:paraId="283CE4D4"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not type-2</w:t>
            </w:r>
          </w:p>
        </w:tc>
      </w:tr>
      <w:tr w:rsidR="0019718A" w:rsidRPr="00AC42E0" w14:paraId="4D4471A0" w14:textId="77777777" w:rsidTr="0030269D">
        <w:trPr>
          <w:trHeight w:val="402"/>
        </w:trPr>
        <w:tc>
          <w:tcPr>
            <w:tcW w:w="1468" w:type="dxa"/>
            <w:vAlign w:val="center"/>
          </w:tcPr>
          <w:p w14:paraId="4219ABCF"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EBC (</w:t>
            </w:r>
            <w:r w:rsidRPr="00AC42E0">
              <w:rPr>
                <w:rFonts w:ascii="Arial" w:eastAsia="Times New Roman" w:hAnsi="Arial" w:cs="Arial"/>
                <w:i/>
                <w:sz w:val="20"/>
                <w:szCs w:val="20"/>
              </w:rPr>
              <w:t>exhaled breath condensate)</w:t>
            </w:r>
          </w:p>
        </w:tc>
        <w:tc>
          <w:tcPr>
            <w:tcW w:w="1471" w:type="dxa"/>
            <w:vAlign w:val="center"/>
          </w:tcPr>
          <w:p w14:paraId="6DE0F69E"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Exhaled air</w:t>
            </w:r>
          </w:p>
        </w:tc>
        <w:tc>
          <w:tcPr>
            <w:tcW w:w="1466" w:type="dxa"/>
            <w:vAlign w:val="center"/>
          </w:tcPr>
          <w:p w14:paraId="6A62041B"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Not specified</w:t>
            </w:r>
          </w:p>
        </w:tc>
      </w:tr>
      <w:tr w:rsidR="0019718A" w:rsidRPr="00AC42E0" w14:paraId="16007F4E" w14:textId="77777777" w:rsidTr="0030269D">
        <w:trPr>
          <w:trHeight w:val="820"/>
        </w:trPr>
        <w:tc>
          <w:tcPr>
            <w:tcW w:w="1468" w:type="dxa"/>
            <w:vAlign w:val="center"/>
          </w:tcPr>
          <w:p w14:paraId="55C7DD97"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VOCs (</w:t>
            </w:r>
            <w:r w:rsidRPr="00AC42E0">
              <w:rPr>
                <w:rFonts w:ascii="Arial" w:eastAsia="Times New Roman" w:hAnsi="Arial" w:cs="Arial"/>
                <w:i/>
                <w:sz w:val="20"/>
                <w:szCs w:val="20"/>
              </w:rPr>
              <w:t>volatile organic compounds</w:t>
            </w:r>
            <w:r w:rsidRPr="00AC42E0">
              <w:rPr>
                <w:rFonts w:ascii="Arial" w:eastAsia="Times New Roman" w:hAnsi="Arial" w:cs="Arial"/>
                <w:sz w:val="20"/>
                <w:szCs w:val="20"/>
              </w:rPr>
              <w:t>)</w:t>
            </w:r>
          </w:p>
        </w:tc>
        <w:tc>
          <w:tcPr>
            <w:tcW w:w="1471" w:type="dxa"/>
            <w:vAlign w:val="center"/>
          </w:tcPr>
          <w:p w14:paraId="6F8CDB38"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Exhaled air</w:t>
            </w:r>
          </w:p>
        </w:tc>
        <w:tc>
          <w:tcPr>
            <w:tcW w:w="1466" w:type="dxa"/>
            <w:vAlign w:val="center"/>
          </w:tcPr>
          <w:p w14:paraId="09C2ECBB" w14:textId="77777777" w:rsidR="0019718A" w:rsidRPr="00AC42E0" w:rsidRDefault="0019718A" w:rsidP="00D815E3">
            <w:pPr>
              <w:spacing w:after="0" w:line="28" w:lineRule="atLeast"/>
              <w:jc w:val="both"/>
              <w:rPr>
                <w:rFonts w:ascii="Arial" w:eastAsia="Times New Roman" w:hAnsi="Arial" w:cs="Arial"/>
                <w:sz w:val="20"/>
                <w:szCs w:val="20"/>
              </w:rPr>
            </w:pPr>
            <w:r w:rsidRPr="00AC42E0">
              <w:rPr>
                <w:rFonts w:ascii="Arial" w:eastAsia="Times New Roman" w:hAnsi="Arial" w:cs="Arial"/>
                <w:sz w:val="20"/>
                <w:szCs w:val="20"/>
              </w:rPr>
              <w:t>Not specified</w:t>
            </w:r>
          </w:p>
        </w:tc>
      </w:tr>
    </w:tbl>
    <w:p w14:paraId="2C207DBF" w14:textId="77777777" w:rsidR="0019718A" w:rsidRPr="00AC42E0" w:rsidRDefault="0019718A" w:rsidP="00AC42E0">
      <w:pPr>
        <w:pStyle w:val="ListParagraph"/>
        <w:spacing w:line="28" w:lineRule="atLeast"/>
        <w:ind w:firstLine="720"/>
        <w:rPr>
          <w:rFonts w:ascii="Arial" w:hAnsi="Arial" w:cs="Arial"/>
          <w:sz w:val="20"/>
          <w:szCs w:val="20"/>
        </w:rPr>
      </w:pPr>
    </w:p>
    <w:p w14:paraId="7584DAE1" w14:textId="77777777" w:rsidR="0019718A" w:rsidRPr="00AC42E0" w:rsidRDefault="0019718A" w:rsidP="00D815E3">
      <w:pPr>
        <w:spacing w:after="0" w:line="28" w:lineRule="atLeast"/>
        <w:jc w:val="both"/>
        <w:rPr>
          <w:rFonts w:ascii="Arial" w:hAnsi="Arial" w:cs="Arial"/>
          <w:b/>
          <w:sz w:val="20"/>
          <w:szCs w:val="20"/>
        </w:rPr>
      </w:pPr>
      <w:r w:rsidRPr="00AC42E0">
        <w:rPr>
          <w:rFonts w:ascii="Arial" w:hAnsi="Arial" w:cs="Arial"/>
          <w:b/>
          <w:sz w:val="20"/>
          <w:szCs w:val="20"/>
        </w:rPr>
        <w:t>Selection of Severe Asthma Treatment</w:t>
      </w:r>
    </w:p>
    <w:p w14:paraId="0E1BA869" w14:textId="08215E01" w:rsidR="00AC42E0"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 xml:space="preserve">The GINA 2022 recommendations for treating severe asthma include using a high-dose ICS-LABA combination for 3-6 months as well as optimizing the treatment of steps 4-5 in the event that good asthma control cannot be achieved with the use of a medium-dose ICS plus LABA and a third controller (LTRA or theophylline). a LAMA (long-acting muscarinic antagonist), either alone or in combination with a medium-dose ICS-LABA, or </w:t>
      </w:r>
      <w:proofErr w:type="spellStart"/>
      <w:r w:rsidRPr="00625A2F">
        <w:rPr>
          <w:rFonts w:ascii="Arial" w:hAnsi="Arial" w:cs="Arial"/>
          <w:sz w:val="20"/>
          <w:szCs w:val="20"/>
        </w:rPr>
        <w:t>zithromax</w:t>
      </w:r>
      <w:proofErr w:type="spellEnd"/>
      <w:r w:rsidRPr="00625A2F">
        <w:rPr>
          <w:rFonts w:ascii="Arial" w:hAnsi="Arial" w:cs="Arial"/>
          <w:sz w:val="20"/>
          <w:szCs w:val="20"/>
        </w:rPr>
        <w:t xml:space="preserve"> three times per week</w:t>
      </w:r>
      <w:r w:rsidR="00AC42E0" w:rsidRPr="00AC42E0">
        <w:rPr>
          <w:rFonts w:ascii="Arial" w:hAnsi="Arial" w:cs="Arial"/>
          <w:sz w:val="20"/>
          <w:szCs w:val="20"/>
        </w:rPr>
        <w:t>.</w:t>
      </w:r>
      <w:r w:rsidR="00AC42E0" w:rsidRPr="00AC42E0">
        <w:rPr>
          <w:rFonts w:ascii="Arial" w:hAnsi="Arial" w:cs="Arial"/>
          <w:sz w:val="20"/>
          <w:szCs w:val="20"/>
          <w:vertAlign w:val="superscript"/>
        </w:rPr>
        <w:t>1</w:t>
      </w:r>
    </w:p>
    <w:p w14:paraId="56186C88" w14:textId="602A16A9" w:rsidR="00AC42E0"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 xml:space="preserve">Clinical biomarkers and patient-focused asthma endotypes should be taken into account while providing supplementary biologic treatment to persons with severe asthma. If you have severe allergic asthma and high </w:t>
      </w:r>
      <w:proofErr w:type="spellStart"/>
      <w:r w:rsidRPr="00625A2F">
        <w:rPr>
          <w:rFonts w:ascii="Arial" w:hAnsi="Arial" w:cs="Arial"/>
          <w:sz w:val="20"/>
          <w:szCs w:val="20"/>
        </w:rPr>
        <w:t>IgE</w:t>
      </w:r>
      <w:proofErr w:type="spellEnd"/>
      <w:r w:rsidRPr="00625A2F">
        <w:rPr>
          <w:rFonts w:ascii="Arial" w:hAnsi="Arial" w:cs="Arial"/>
          <w:sz w:val="20"/>
          <w:szCs w:val="20"/>
        </w:rPr>
        <w:t xml:space="preserve"> levels, you might think about further anti-</w:t>
      </w:r>
      <w:proofErr w:type="spellStart"/>
      <w:r w:rsidRPr="00625A2F">
        <w:rPr>
          <w:rFonts w:ascii="Arial" w:hAnsi="Arial" w:cs="Arial"/>
          <w:sz w:val="20"/>
          <w:szCs w:val="20"/>
        </w:rPr>
        <w:t>IgE</w:t>
      </w:r>
      <w:proofErr w:type="spellEnd"/>
      <w:r w:rsidRPr="00625A2F">
        <w:rPr>
          <w:rFonts w:ascii="Arial" w:hAnsi="Arial" w:cs="Arial"/>
          <w:sz w:val="20"/>
          <w:szCs w:val="20"/>
        </w:rPr>
        <w:t xml:space="preserve"> therapy (omalizumab). Mepolizumab, </w:t>
      </w:r>
      <w:proofErr w:type="spellStart"/>
      <w:r w:rsidRPr="00625A2F">
        <w:rPr>
          <w:rFonts w:ascii="Arial" w:hAnsi="Arial" w:cs="Arial"/>
          <w:sz w:val="20"/>
          <w:szCs w:val="20"/>
        </w:rPr>
        <w:t>reslizumab</w:t>
      </w:r>
      <w:proofErr w:type="spellEnd"/>
      <w:r w:rsidRPr="00625A2F">
        <w:rPr>
          <w:rFonts w:ascii="Arial" w:hAnsi="Arial" w:cs="Arial"/>
          <w:sz w:val="20"/>
          <w:szCs w:val="20"/>
        </w:rPr>
        <w:t xml:space="preserve">, and </w:t>
      </w:r>
      <w:proofErr w:type="spellStart"/>
      <w:r w:rsidRPr="00625A2F">
        <w:rPr>
          <w:rFonts w:ascii="Arial" w:hAnsi="Arial" w:cs="Arial"/>
          <w:sz w:val="20"/>
          <w:szCs w:val="20"/>
        </w:rPr>
        <w:t>benralizumab</w:t>
      </w:r>
      <w:proofErr w:type="spellEnd"/>
      <w:r w:rsidRPr="00625A2F">
        <w:rPr>
          <w:rFonts w:ascii="Arial" w:hAnsi="Arial" w:cs="Arial"/>
          <w:sz w:val="20"/>
          <w:szCs w:val="20"/>
        </w:rPr>
        <w:t xml:space="preserve"> are additional anti-IL-5/IL-5 receptor drugs for persons with severe asthma and elevated blood eosinophil levels. The administration of </w:t>
      </w:r>
      <w:proofErr w:type="spellStart"/>
      <w:r w:rsidRPr="00625A2F">
        <w:rPr>
          <w:rFonts w:ascii="Arial" w:hAnsi="Arial" w:cs="Arial"/>
          <w:sz w:val="20"/>
          <w:szCs w:val="20"/>
        </w:rPr>
        <w:t>duplilumab</w:t>
      </w:r>
      <w:proofErr w:type="spellEnd"/>
      <w:r w:rsidRPr="00625A2F">
        <w:rPr>
          <w:rFonts w:ascii="Arial" w:hAnsi="Arial" w:cs="Arial"/>
          <w:sz w:val="20"/>
          <w:szCs w:val="20"/>
        </w:rPr>
        <w:t xml:space="preserve">, an additional anti-IL-4R drug, results in greater levels of </w:t>
      </w:r>
      <w:proofErr w:type="spellStart"/>
      <w:r w:rsidRPr="00625A2F">
        <w:rPr>
          <w:rFonts w:ascii="Arial" w:hAnsi="Arial" w:cs="Arial"/>
          <w:sz w:val="20"/>
          <w:szCs w:val="20"/>
        </w:rPr>
        <w:t>FeNO</w:t>
      </w:r>
      <w:proofErr w:type="spellEnd"/>
      <w:r w:rsidRPr="00625A2F">
        <w:rPr>
          <w:rFonts w:ascii="Arial" w:hAnsi="Arial" w:cs="Arial"/>
          <w:sz w:val="20"/>
          <w:szCs w:val="20"/>
        </w:rPr>
        <w:t xml:space="preserve"> when using the strategy shown in Figure 3 to select an empiric biologic therapy for severe asthma</w:t>
      </w:r>
      <w:r w:rsidR="00AC42E0" w:rsidRPr="00AC42E0">
        <w:rPr>
          <w:rFonts w:ascii="Arial" w:hAnsi="Arial" w:cs="Arial"/>
          <w:sz w:val="20"/>
          <w:szCs w:val="20"/>
        </w:rPr>
        <w:t>.</w:t>
      </w:r>
      <w:r w:rsidR="00AC42E0" w:rsidRPr="00AC42E0">
        <w:rPr>
          <w:rFonts w:ascii="Arial" w:hAnsi="Arial" w:cs="Arial"/>
          <w:sz w:val="20"/>
          <w:szCs w:val="20"/>
          <w:vertAlign w:val="superscript"/>
        </w:rPr>
        <w:t>1</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9026"/>
      </w:tblGrid>
      <w:tr w:rsidR="0019718A" w:rsidRPr="00AC42E0" w14:paraId="5383E3E3" w14:textId="77777777" w:rsidTr="0030269D">
        <w:tc>
          <w:tcPr>
            <w:tcW w:w="9026" w:type="dxa"/>
            <w:vAlign w:val="center"/>
          </w:tcPr>
          <w:p w14:paraId="5D1A42DC" w14:textId="77777777"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eastAsia="Times New Roman" w:hAnsi="Arial" w:cs="Arial"/>
                <w:noProof/>
                <w:sz w:val="20"/>
                <w:szCs w:val="20"/>
              </w:rPr>
              <w:drawing>
                <wp:inline distT="0" distB="0" distL="0" distR="0" wp14:anchorId="3068C82E" wp14:editId="3ED44FFF">
                  <wp:extent cx="2727297" cy="2138901"/>
                  <wp:effectExtent l="0" t="0" r="0" b="0"/>
                  <wp:docPr id="3" name="image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png" descr="Diagram&#10;&#10;Description automatically generated"/>
                          <pic:cNvPicPr preferRelativeResize="0"/>
                        </pic:nvPicPr>
                        <pic:blipFill>
                          <a:blip r:embed="rId19"/>
                          <a:srcRect/>
                          <a:stretch>
                            <a:fillRect/>
                          </a:stretch>
                        </pic:blipFill>
                        <pic:spPr>
                          <a:xfrm>
                            <a:off x="0" y="0"/>
                            <a:ext cx="2733138" cy="2143482"/>
                          </a:xfrm>
                          <a:prstGeom prst="rect">
                            <a:avLst/>
                          </a:prstGeom>
                          <a:ln/>
                        </pic:spPr>
                      </pic:pic>
                    </a:graphicData>
                  </a:graphic>
                </wp:inline>
              </w:drawing>
            </w:r>
          </w:p>
        </w:tc>
      </w:tr>
      <w:tr w:rsidR="0019718A" w:rsidRPr="00AC42E0" w14:paraId="3FCCB0C6" w14:textId="77777777" w:rsidTr="0030269D">
        <w:tc>
          <w:tcPr>
            <w:tcW w:w="9026" w:type="dxa"/>
          </w:tcPr>
          <w:p w14:paraId="05CA5FDF" w14:textId="77777777" w:rsidR="0019718A" w:rsidRPr="00AC42E0" w:rsidRDefault="0019718A" w:rsidP="00AC42E0">
            <w:pPr>
              <w:spacing w:after="0" w:line="28" w:lineRule="atLeast"/>
              <w:ind w:firstLine="720"/>
              <w:jc w:val="both"/>
              <w:rPr>
                <w:rFonts w:ascii="Arial" w:eastAsia="Times New Roman" w:hAnsi="Arial" w:cs="Arial"/>
                <w:sz w:val="20"/>
                <w:szCs w:val="20"/>
              </w:rPr>
            </w:pPr>
          </w:p>
        </w:tc>
      </w:tr>
    </w:tbl>
    <w:p w14:paraId="2AA66FB3" w14:textId="77777777" w:rsidR="0019718A" w:rsidRPr="00AC42E0" w:rsidRDefault="0019718A" w:rsidP="00AC42E0">
      <w:pPr>
        <w:spacing w:after="0" w:line="28" w:lineRule="atLeast"/>
        <w:ind w:firstLine="720"/>
        <w:jc w:val="both"/>
        <w:rPr>
          <w:rFonts w:ascii="Arial" w:hAnsi="Arial" w:cs="Arial"/>
          <w:sz w:val="20"/>
          <w:szCs w:val="20"/>
          <w:vertAlign w:val="superscript"/>
        </w:rPr>
      </w:pPr>
      <w:r w:rsidRPr="00AC42E0">
        <w:rPr>
          <w:rFonts w:ascii="Arial" w:hAnsi="Arial" w:cs="Arial"/>
          <w:b/>
          <w:bCs/>
          <w:sz w:val="20"/>
          <w:szCs w:val="20"/>
        </w:rPr>
        <w:t>Figure 3.</w:t>
      </w:r>
      <w:r w:rsidRPr="00AC42E0">
        <w:rPr>
          <w:rFonts w:ascii="Arial" w:hAnsi="Arial" w:cs="Arial"/>
          <w:sz w:val="20"/>
          <w:szCs w:val="20"/>
        </w:rPr>
        <w:t xml:space="preserve"> Algorithm for selection of biologic treatment for severe asthma</w:t>
      </w:r>
      <w:r w:rsidRPr="00AC42E0">
        <w:rPr>
          <w:rFonts w:ascii="Arial" w:hAnsi="Arial" w:cs="Arial"/>
          <w:sz w:val="20"/>
          <w:szCs w:val="20"/>
          <w:vertAlign w:val="superscript"/>
        </w:rPr>
        <w:t>2</w:t>
      </w:r>
    </w:p>
    <w:p w14:paraId="73B41B75" w14:textId="77777777" w:rsidR="00625A2F" w:rsidRDefault="00625A2F" w:rsidP="00625A2F">
      <w:pPr>
        <w:spacing w:after="0" w:line="28" w:lineRule="atLeast"/>
        <w:jc w:val="both"/>
        <w:rPr>
          <w:rFonts w:ascii="Arial" w:hAnsi="Arial" w:cs="Arial"/>
          <w:sz w:val="20"/>
          <w:szCs w:val="20"/>
        </w:rPr>
      </w:pPr>
    </w:p>
    <w:p w14:paraId="6F523455" w14:textId="77777777" w:rsidR="00625A2F" w:rsidRDefault="00625A2F" w:rsidP="00625A2F">
      <w:pPr>
        <w:spacing w:after="0" w:line="28" w:lineRule="atLeast"/>
        <w:jc w:val="both"/>
        <w:rPr>
          <w:rFonts w:ascii="Arial" w:hAnsi="Arial" w:cs="Arial"/>
          <w:sz w:val="20"/>
          <w:szCs w:val="20"/>
        </w:rPr>
      </w:pPr>
    </w:p>
    <w:p w14:paraId="0A2CF469" w14:textId="5F8E40A0" w:rsidR="0019718A" w:rsidRPr="00AC42E0" w:rsidRDefault="0019718A" w:rsidP="00625A2F">
      <w:pPr>
        <w:spacing w:after="0" w:line="28" w:lineRule="atLeast"/>
        <w:jc w:val="both"/>
        <w:rPr>
          <w:rFonts w:ascii="Arial" w:hAnsi="Arial" w:cs="Arial"/>
          <w:b/>
          <w:sz w:val="20"/>
          <w:szCs w:val="20"/>
        </w:rPr>
      </w:pPr>
      <w:r w:rsidRPr="00AC42E0">
        <w:rPr>
          <w:rFonts w:ascii="Arial" w:hAnsi="Arial" w:cs="Arial"/>
          <w:b/>
          <w:sz w:val="20"/>
          <w:szCs w:val="20"/>
        </w:rPr>
        <w:lastRenderedPageBreak/>
        <w:t>Mepolizumab (Anti Interleukin-5) Mechanism of Action and Clinical Use</w:t>
      </w:r>
    </w:p>
    <w:p w14:paraId="64B5C813" w14:textId="1E4E03BD" w:rsidR="00AC42E0"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In order to stop IL-5 from attaching to receptors on the surface of eosinophils, mepolizumab precisely prevents IL-5 cytokine binding to IL-5 receptor subunits via the nanomolar potential (figure 4). Interleukin-5 is the main cytokine in charge of eosinophil synthesis, differentiation, migration, activation, and survival. Anti-IL-5's capacity to inhibit eosinophil recruitment, activation, generation, growth, and survival reduces eosinophil-mediated inflammation. In just 24 hours, mepolizumab therapy can reduce blood eosinophil levels by up to 50%.</w:t>
      </w:r>
      <w:r w:rsidR="00006537" w:rsidRPr="00006537">
        <w:rPr>
          <w:rFonts w:ascii="Arial" w:hAnsi="Arial" w:cs="Arial"/>
          <w:sz w:val="20"/>
          <w:szCs w:val="20"/>
        </w:rPr>
        <w:t>.</w:t>
      </w:r>
      <w:r w:rsidR="00AC42E0" w:rsidRPr="00AC42E0">
        <w:rPr>
          <w:rFonts w:ascii="Arial" w:hAnsi="Arial" w:cs="Arial"/>
          <w:sz w:val="20"/>
          <w:szCs w:val="20"/>
          <w:vertAlign w:val="superscript"/>
        </w:rPr>
        <w:t>14,15</w:t>
      </w:r>
    </w:p>
    <w:p w14:paraId="2CC961A3" w14:textId="185A648D" w:rsidR="00AC42E0"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In patients receiving high-dose inhaled corticosteroids along with one or more controllers, such as LABA, mepolizumab is used to treat severe persistent asthma in adults, adolescents, and children aged 6 years and older with an eosinophil count of 150 cells/L at the beginning of treatment or 300 cells/L in the previous 12 months. Mepolizumab and a placebo were evaluated in eight studies by the Cochrane Airways Group, involving 1707 participants. In one randomized research with 621 individuals, administration of mepolizumab 75 mg, 250 mg, or 750 mg at four-week intervals led to eosinophilic inflammation. Blood eosinophil levels significantly dropped among mepolizumab users</w:t>
      </w:r>
      <w:r w:rsidR="00AC42E0" w:rsidRPr="00AC42E0">
        <w:rPr>
          <w:rFonts w:ascii="Arial" w:hAnsi="Arial" w:cs="Arial"/>
          <w:sz w:val="20"/>
          <w:szCs w:val="20"/>
        </w:rPr>
        <w:t>.</w:t>
      </w:r>
      <w:r w:rsidR="00AC42E0" w:rsidRPr="00AC42E0">
        <w:rPr>
          <w:rFonts w:ascii="Arial" w:hAnsi="Arial" w:cs="Arial"/>
          <w:sz w:val="20"/>
          <w:szCs w:val="20"/>
          <w:vertAlign w:val="superscript"/>
        </w:rPr>
        <w:t>23</w:t>
      </w:r>
    </w:p>
    <w:p w14:paraId="44B370CC" w14:textId="74BD06C3" w:rsidR="00AC42E0"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Mepolizumab significantly decreased the annual number of exacerbations as compared to placebo in a study including 806 asthma patients who had exacerbations while receiving OCS treatment. a 48% decrease at a dosage of 75 mg. Patients with severe eosinophilic asthma who had gone through two exacerbations in the previous year were given mepolizumab 100 mg subcutaneously. When compared to those who took a placebo, 194 of the 449 patients who experienced exacerbations reported a reduction in exacerbations of 1.74 relative risk (RR) or 0.83</w:t>
      </w:r>
      <w:r w:rsidR="00006537" w:rsidRPr="00006537">
        <w:rPr>
          <w:rFonts w:ascii="Arial" w:hAnsi="Arial" w:cs="Arial"/>
          <w:sz w:val="20"/>
          <w:szCs w:val="20"/>
        </w:rPr>
        <w:t>.</w:t>
      </w:r>
      <w:r w:rsidR="00AC42E0" w:rsidRPr="00AC42E0">
        <w:rPr>
          <w:rFonts w:ascii="Arial" w:hAnsi="Arial" w:cs="Arial"/>
          <w:sz w:val="20"/>
          <w:szCs w:val="20"/>
          <w:vertAlign w:val="superscript"/>
        </w:rPr>
        <w:t>23</w:t>
      </w:r>
    </w:p>
    <w:p w14:paraId="32FB1FFF" w14:textId="521CEE03" w:rsidR="00AC42E0"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In a study, mepolizumab was administered subcutaneously to 135 patients with severe eosinophilic asthma who had been on 5-35 mg of prednisone for six months. The patients were assessed 20 weeks after getting mepolizumab or a placebo while still taking corticosteroids. The trial's findings demonstrated that mepolizumab users saw an average 50% reduction in Prednisone dosage from the starting dose, whilst the placebo group did not see a corresponding drop. With mepolizumab, the yearly exacerbation rate was 1.44 RR as opposed to 2.12 RR with a placebo</w:t>
      </w:r>
      <w:r w:rsidR="00006537" w:rsidRPr="00006537">
        <w:rPr>
          <w:rFonts w:ascii="Arial" w:hAnsi="Arial" w:cs="Arial"/>
          <w:sz w:val="20"/>
          <w:szCs w:val="20"/>
        </w:rPr>
        <w:t>.</w:t>
      </w:r>
      <w:r w:rsidR="00AC42E0" w:rsidRPr="00AC42E0">
        <w:rPr>
          <w:rFonts w:ascii="Arial" w:hAnsi="Arial" w:cs="Arial"/>
          <w:sz w:val="20"/>
          <w:szCs w:val="20"/>
          <w:vertAlign w:val="superscript"/>
        </w:rPr>
        <w:t xml:space="preserve"> 23</w:t>
      </w:r>
    </w:p>
    <w:tbl>
      <w:tblPr>
        <w:tblW w:w="5252" w:type="dxa"/>
        <w:tblBorders>
          <w:top w:val="nil"/>
          <w:left w:val="nil"/>
          <w:bottom w:val="nil"/>
          <w:right w:val="nil"/>
          <w:insideH w:val="nil"/>
          <w:insideV w:val="nil"/>
        </w:tblBorders>
        <w:tblLayout w:type="fixed"/>
        <w:tblLook w:val="0400" w:firstRow="0" w:lastRow="0" w:firstColumn="0" w:lastColumn="0" w:noHBand="0" w:noVBand="1"/>
      </w:tblPr>
      <w:tblGrid>
        <w:gridCol w:w="5252"/>
      </w:tblGrid>
      <w:tr w:rsidR="0019718A" w:rsidRPr="00AC42E0" w14:paraId="51C9F819" w14:textId="77777777" w:rsidTr="0030269D">
        <w:trPr>
          <w:trHeight w:val="4450"/>
        </w:trPr>
        <w:tc>
          <w:tcPr>
            <w:tcW w:w="5252" w:type="dxa"/>
          </w:tcPr>
          <w:p w14:paraId="4406BE93" w14:textId="77777777"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eastAsia="Times New Roman" w:hAnsi="Arial" w:cs="Arial"/>
                <w:noProof/>
                <w:sz w:val="20"/>
                <w:szCs w:val="20"/>
              </w:rPr>
              <w:drawing>
                <wp:anchor distT="0" distB="0" distL="114300" distR="114300" simplePos="0" relativeHeight="251666432" behindDoc="1" locked="0" layoutInCell="1" allowOverlap="1" wp14:anchorId="720DC7D2" wp14:editId="2A5C5B4F">
                  <wp:simplePos x="0" y="0"/>
                  <wp:positionH relativeFrom="page">
                    <wp:posOffset>-113376</wp:posOffset>
                  </wp:positionH>
                  <wp:positionV relativeFrom="paragraph">
                    <wp:posOffset>325640</wp:posOffset>
                  </wp:positionV>
                  <wp:extent cx="3182587" cy="2146292"/>
                  <wp:effectExtent l="0" t="0" r="0" b="6985"/>
                  <wp:wrapNone/>
                  <wp:docPr id="1571167538" name="Picture 15711675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8225" cy="2150094"/>
                          </a:xfrm>
                          <a:prstGeom prst="rect">
                            <a:avLst/>
                          </a:prstGeom>
                          <a:noFill/>
                        </pic:spPr>
                      </pic:pic>
                    </a:graphicData>
                  </a:graphic>
                  <wp14:sizeRelH relativeFrom="margin">
                    <wp14:pctWidth>0</wp14:pctWidth>
                  </wp14:sizeRelH>
                  <wp14:sizeRelV relativeFrom="margin">
                    <wp14:pctHeight>0</wp14:pctHeight>
                  </wp14:sizeRelV>
                </wp:anchor>
              </w:drawing>
            </w:r>
          </w:p>
        </w:tc>
      </w:tr>
      <w:tr w:rsidR="0019718A" w:rsidRPr="00AC42E0" w14:paraId="4638F3F4" w14:textId="77777777" w:rsidTr="0030269D">
        <w:trPr>
          <w:trHeight w:val="469"/>
        </w:trPr>
        <w:tc>
          <w:tcPr>
            <w:tcW w:w="5252" w:type="dxa"/>
          </w:tcPr>
          <w:p w14:paraId="4C3FCA19" w14:textId="77777777" w:rsidR="0019718A" w:rsidRPr="00AC42E0" w:rsidRDefault="0019718A" w:rsidP="00AC42E0">
            <w:pPr>
              <w:spacing w:after="0" w:line="28" w:lineRule="atLeast"/>
              <w:ind w:firstLine="720"/>
              <w:jc w:val="both"/>
              <w:rPr>
                <w:rFonts w:ascii="Arial" w:eastAsia="Times New Roman" w:hAnsi="Arial" w:cs="Arial"/>
                <w:sz w:val="20"/>
                <w:szCs w:val="20"/>
              </w:rPr>
            </w:pPr>
            <w:r w:rsidRPr="00AC42E0">
              <w:rPr>
                <w:rFonts w:ascii="Arial" w:eastAsia="Times New Roman" w:hAnsi="Arial" w:cs="Arial"/>
                <w:b/>
                <w:bCs/>
                <w:sz w:val="20"/>
                <w:szCs w:val="20"/>
              </w:rPr>
              <w:t>Figure 4.</w:t>
            </w:r>
            <w:r w:rsidRPr="00AC42E0">
              <w:rPr>
                <w:rFonts w:ascii="Arial" w:eastAsia="Times New Roman" w:hAnsi="Arial" w:cs="Arial"/>
                <w:sz w:val="20"/>
                <w:szCs w:val="20"/>
              </w:rPr>
              <w:t xml:space="preserve"> Mepolizumab mechanism of action</w:t>
            </w:r>
            <w:r w:rsidRPr="00AC42E0">
              <w:rPr>
                <w:rFonts w:ascii="Arial" w:eastAsia="Times New Roman" w:hAnsi="Arial" w:cs="Arial"/>
                <w:sz w:val="20"/>
                <w:szCs w:val="20"/>
                <w:vertAlign w:val="superscript"/>
              </w:rPr>
              <w:t>26</w:t>
            </w:r>
          </w:p>
        </w:tc>
      </w:tr>
    </w:tbl>
    <w:p w14:paraId="11F3AD70" w14:textId="77777777" w:rsidR="0019718A" w:rsidRPr="00AC42E0" w:rsidRDefault="0019718A" w:rsidP="00AC42E0">
      <w:pPr>
        <w:spacing w:after="0" w:line="28" w:lineRule="atLeast"/>
        <w:ind w:firstLine="720"/>
        <w:jc w:val="both"/>
        <w:rPr>
          <w:rFonts w:ascii="Arial" w:hAnsi="Arial" w:cs="Arial"/>
          <w:bCs/>
          <w:sz w:val="20"/>
          <w:szCs w:val="20"/>
        </w:rPr>
      </w:pPr>
    </w:p>
    <w:p w14:paraId="4C515457" w14:textId="77777777" w:rsidR="0019718A" w:rsidRPr="00AC42E0" w:rsidRDefault="0019718A" w:rsidP="00625A2F">
      <w:pPr>
        <w:spacing w:after="0" w:line="28" w:lineRule="atLeast"/>
        <w:jc w:val="both"/>
        <w:rPr>
          <w:rFonts w:ascii="Arial" w:hAnsi="Arial" w:cs="Arial"/>
          <w:b/>
          <w:sz w:val="20"/>
          <w:szCs w:val="20"/>
        </w:rPr>
      </w:pPr>
      <w:r w:rsidRPr="00AC42E0">
        <w:rPr>
          <w:rFonts w:ascii="Arial" w:hAnsi="Arial" w:cs="Arial"/>
          <w:b/>
          <w:sz w:val="20"/>
          <w:szCs w:val="20"/>
        </w:rPr>
        <w:t>Pharmacodynamics of Mepolizumab</w:t>
      </w:r>
    </w:p>
    <w:p w14:paraId="671D5F5A" w14:textId="0D64E7EF" w:rsidR="0019718A"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In a study by Russell et al, mepolizumab was given subcutaneously at a dose of 100 mg once every four weeks to patients with severe eosinophilic asthma in both adults and adolescents. This treatment was found to be more effective than a placebo in lowering blood eosinophil levels, which decreased from an initial average of 290 cells/L to 40 cells/L in the sixth week.32 Between 4 weeks and 4.5 years, the average time it took for the blood eosinophil levels to decline was 2.8 years. Every four weeks for a total of 52 weeks, children aged 6 to 11 years got mepolizumab subcutaneously</w:t>
      </w:r>
      <w:r w:rsidR="00006537" w:rsidRPr="00006537">
        <w:rPr>
          <w:rFonts w:ascii="Arial" w:hAnsi="Arial" w:cs="Arial"/>
          <w:sz w:val="20"/>
          <w:szCs w:val="20"/>
        </w:rPr>
        <w:t>.</w:t>
      </w:r>
      <w:r w:rsidR="00006537">
        <w:rPr>
          <w:rFonts w:ascii="Arial" w:hAnsi="Arial" w:cs="Arial"/>
          <w:sz w:val="20"/>
          <w:szCs w:val="20"/>
        </w:rPr>
        <w:t xml:space="preserve"> </w:t>
      </w:r>
      <w:r w:rsidRPr="00625A2F">
        <w:rPr>
          <w:rFonts w:ascii="Arial" w:hAnsi="Arial" w:cs="Arial"/>
          <w:sz w:val="20"/>
          <w:szCs w:val="20"/>
        </w:rPr>
        <w:t>Blood eosinophil levels dropped further after the 40 mg dosage (for a weight of 40 kg) than the baseline average of 306 cells/L, down to 48 cells/L after 52 weeks. These data demonstrate 85% and 87% declines, respectively, after the start of the treatment</w:t>
      </w:r>
      <w:r w:rsidR="00006537" w:rsidRPr="00006537">
        <w:rPr>
          <w:rFonts w:ascii="Arial" w:hAnsi="Arial" w:cs="Arial"/>
          <w:sz w:val="20"/>
          <w:szCs w:val="20"/>
        </w:rPr>
        <w:t>.</w:t>
      </w:r>
      <w:r w:rsidR="0019718A" w:rsidRPr="00AC42E0">
        <w:rPr>
          <w:rFonts w:ascii="Arial" w:hAnsi="Arial" w:cs="Arial"/>
          <w:sz w:val="20"/>
          <w:szCs w:val="20"/>
          <w:vertAlign w:val="superscript"/>
        </w:rPr>
        <w:t>24</w:t>
      </w:r>
    </w:p>
    <w:p w14:paraId="6CDFE00D" w14:textId="6BD6064C" w:rsidR="0019718A" w:rsidRPr="00AC42E0" w:rsidRDefault="00625A2F" w:rsidP="00AC42E0">
      <w:pPr>
        <w:spacing w:after="0" w:line="28" w:lineRule="atLeast"/>
        <w:ind w:firstLine="720"/>
        <w:jc w:val="both"/>
        <w:rPr>
          <w:rFonts w:ascii="Arial" w:eastAsia="Times New Roman" w:hAnsi="Arial" w:cs="Arial"/>
          <w:sz w:val="20"/>
          <w:szCs w:val="20"/>
        </w:rPr>
      </w:pPr>
      <w:proofErr w:type="spellStart"/>
      <w:r w:rsidRPr="00625A2F">
        <w:rPr>
          <w:rFonts w:ascii="Arial" w:eastAsia="Gungsuh" w:hAnsi="Arial" w:cs="Arial"/>
          <w:sz w:val="20"/>
          <w:szCs w:val="20"/>
        </w:rPr>
        <w:t>Mepolimuzab</w:t>
      </w:r>
      <w:proofErr w:type="spellEnd"/>
      <w:r w:rsidRPr="00625A2F">
        <w:rPr>
          <w:rFonts w:ascii="Arial" w:eastAsia="Gungsuh" w:hAnsi="Arial" w:cs="Arial"/>
          <w:sz w:val="20"/>
          <w:szCs w:val="20"/>
        </w:rPr>
        <w:t xml:space="preserve"> should be administered parenterally or intravenously to individuals with eosinophilic asthma once every four weeks for 32 weeks, and once every four weeks to patients with eosinophilic granulomatosis polyangiitis. Children under 12 receive the same dosage as an adult, whereas children aged 6 to 11 receive 40 mg once every four weeks for 52 weeks. Mepolizumab comes in vials, prefilled syringes, and prefilled autoinjectors in 10 mL </w:t>
      </w:r>
      <w:proofErr w:type="spellStart"/>
      <w:r w:rsidRPr="00625A2F">
        <w:rPr>
          <w:rFonts w:ascii="Arial" w:eastAsia="Gungsuh" w:hAnsi="Arial" w:cs="Arial"/>
          <w:sz w:val="20"/>
          <w:szCs w:val="20"/>
        </w:rPr>
        <w:t>colorless</w:t>
      </w:r>
      <w:proofErr w:type="spellEnd"/>
      <w:r w:rsidRPr="00625A2F">
        <w:rPr>
          <w:rFonts w:ascii="Arial" w:eastAsia="Gungsuh" w:hAnsi="Arial" w:cs="Arial"/>
          <w:sz w:val="20"/>
          <w:szCs w:val="20"/>
        </w:rPr>
        <w:t xml:space="preserve"> translucent glass bottles with </w:t>
      </w:r>
      <w:proofErr w:type="spellStart"/>
      <w:r w:rsidRPr="00625A2F">
        <w:rPr>
          <w:rFonts w:ascii="Arial" w:eastAsia="Gungsuh" w:hAnsi="Arial" w:cs="Arial"/>
          <w:sz w:val="20"/>
          <w:szCs w:val="20"/>
        </w:rPr>
        <w:t>bromobutyl</w:t>
      </w:r>
      <w:proofErr w:type="spellEnd"/>
      <w:r w:rsidRPr="00625A2F">
        <w:rPr>
          <w:rFonts w:ascii="Arial" w:eastAsia="Gungsuh" w:hAnsi="Arial" w:cs="Arial"/>
          <w:sz w:val="20"/>
          <w:szCs w:val="20"/>
        </w:rPr>
        <w:t xml:space="preserve"> rubber (non-latex) covers, </w:t>
      </w:r>
      <w:proofErr w:type="spellStart"/>
      <w:r w:rsidRPr="00625A2F">
        <w:rPr>
          <w:rFonts w:ascii="Arial" w:eastAsia="Gungsuh" w:hAnsi="Arial" w:cs="Arial"/>
          <w:sz w:val="20"/>
          <w:szCs w:val="20"/>
        </w:rPr>
        <w:t>aluminum</w:t>
      </w:r>
      <w:proofErr w:type="spellEnd"/>
      <w:r w:rsidRPr="00625A2F">
        <w:rPr>
          <w:rFonts w:ascii="Arial" w:eastAsia="Gungsuh" w:hAnsi="Arial" w:cs="Arial"/>
          <w:sz w:val="20"/>
          <w:szCs w:val="20"/>
        </w:rPr>
        <w:t xml:space="preserve"> top seals, and plastic flip tops. 100 mg of powder for injectable solution are contained in each vial. Since a single-use bottle doesn't contain any preservatives, reconstitution needs to be completed in an aseptic setting.</w:t>
      </w:r>
      <w:r w:rsidR="0019718A" w:rsidRPr="00AC42E0">
        <w:rPr>
          <w:rFonts w:ascii="Arial" w:eastAsia="Times New Roman" w:hAnsi="Arial" w:cs="Arial"/>
          <w:sz w:val="20"/>
          <w:szCs w:val="20"/>
          <w:vertAlign w:val="superscript"/>
        </w:rPr>
        <w:t>21</w:t>
      </w:r>
    </w:p>
    <w:p w14:paraId="63A34330" w14:textId="77777777" w:rsidR="0019718A" w:rsidRPr="00AC42E0" w:rsidRDefault="0019718A" w:rsidP="00AC42E0">
      <w:pPr>
        <w:spacing w:after="0" w:line="28" w:lineRule="atLeast"/>
        <w:ind w:firstLine="720"/>
        <w:jc w:val="both"/>
        <w:rPr>
          <w:rFonts w:ascii="Arial" w:hAnsi="Arial" w:cs="Arial"/>
          <w:sz w:val="20"/>
          <w:szCs w:val="20"/>
        </w:rPr>
      </w:pPr>
    </w:p>
    <w:p w14:paraId="09557B02" w14:textId="77777777" w:rsidR="0019718A" w:rsidRPr="00AC42E0" w:rsidRDefault="0019718A" w:rsidP="00AC42E0">
      <w:pPr>
        <w:spacing w:after="0" w:line="28" w:lineRule="atLeast"/>
        <w:ind w:firstLine="720"/>
        <w:jc w:val="both"/>
        <w:rPr>
          <w:rFonts w:ascii="Arial" w:hAnsi="Arial" w:cs="Arial"/>
          <w:b/>
          <w:sz w:val="20"/>
          <w:szCs w:val="20"/>
        </w:rPr>
      </w:pPr>
      <w:r w:rsidRPr="00AC42E0">
        <w:rPr>
          <w:rFonts w:ascii="Arial" w:hAnsi="Arial" w:cs="Arial"/>
          <w:b/>
          <w:sz w:val="20"/>
          <w:szCs w:val="20"/>
        </w:rPr>
        <w:t>Pharmacokinetics Mepolizumab</w:t>
      </w:r>
    </w:p>
    <w:p w14:paraId="50095664" w14:textId="65F3343D" w:rsidR="00AC42E0" w:rsidRPr="00AC42E0" w:rsidRDefault="00440BDE" w:rsidP="00AC42E0">
      <w:pPr>
        <w:spacing w:after="0" w:line="28" w:lineRule="atLeast"/>
        <w:ind w:firstLine="720"/>
        <w:jc w:val="both"/>
        <w:rPr>
          <w:rFonts w:ascii="Arial" w:hAnsi="Arial" w:cs="Arial"/>
          <w:sz w:val="20"/>
          <w:szCs w:val="20"/>
        </w:rPr>
      </w:pPr>
      <w:r w:rsidRPr="00440BDE">
        <w:rPr>
          <w:rFonts w:ascii="Arial" w:hAnsi="Arial" w:cs="Arial"/>
          <w:sz w:val="20"/>
          <w:szCs w:val="20"/>
        </w:rPr>
        <w:t xml:space="preserve">According to a study by Russell et al, treating patients with severe eosinophilic asthma with </w:t>
      </w:r>
      <w:r w:rsidRPr="00440BDE">
        <w:rPr>
          <w:rFonts w:ascii="Arial" w:hAnsi="Arial" w:cs="Arial"/>
          <w:sz w:val="20"/>
          <w:szCs w:val="20"/>
        </w:rPr>
        <w:lastRenderedPageBreak/>
        <w:t>mepolizumab at a dose of 100 mg subcutaneously every four weeks reduced blood eosinophil levels compared to placebo administration, going from an initial average of 290 cells/L to 40 cells/L in the sixth week</w:t>
      </w:r>
      <w:r>
        <w:rPr>
          <w:rFonts w:ascii="Arial" w:hAnsi="Arial" w:cs="Arial"/>
          <w:sz w:val="20"/>
          <w:szCs w:val="20"/>
        </w:rPr>
        <w:t>.</w:t>
      </w:r>
      <w:r>
        <w:rPr>
          <w:rFonts w:ascii="Arial" w:hAnsi="Arial" w:cs="Arial"/>
          <w:sz w:val="20"/>
          <w:szCs w:val="20"/>
          <w:vertAlign w:val="superscript"/>
        </w:rPr>
        <w:t>32</w:t>
      </w:r>
      <w:r w:rsidR="00AC42E0" w:rsidRPr="00AC42E0">
        <w:rPr>
          <w:rFonts w:ascii="Arial" w:hAnsi="Arial" w:cs="Arial"/>
          <w:sz w:val="20"/>
          <w:szCs w:val="20"/>
        </w:rPr>
        <w:t xml:space="preserve"> </w:t>
      </w:r>
      <w:r w:rsidRPr="00440BDE">
        <w:rPr>
          <w:rFonts w:ascii="Arial" w:hAnsi="Arial" w:cs="Arial"/>
          <w:sz w:val="20"/>
          <w:szCs w:val="20"/>
        </w:rPr>
        <w:t>Between 4 weeks and 4.5 years, this decrease in blood eosinophil levels lasted an average of 2.8 years. Every four weeks for a total of 52 weeks, mepolizumab was administered subcutaneously to children aged 6 to 11 years. Blood eosinophil levels dropped further after the 40 mg dosage (for a weight of 40 kg) than the baseline average of 306 cells/L, down to 48 cells/L after 52 weeks</w:t>
      </w:r>
      <w:r w:rsidR="00AC42E0" w:rsidRPr="00AC42E0">
        <w:rPr>
          <w:rFonts w:ascii="Arial" w:hAnsi="Arial" w:cs="Arial"/>
          <w:sz w:val="20"/>
          <w:szCs w:val="20"/>
        </w:rPr>
        <w:t xml:space="preserve">. </w:t>
      </w:r>
      <w:r w:rsidRPr="00440BDE">
        <w:rPr>
          <w:rFonts w:ascii="Arial" w:hAnsi="Arial" w:cs="Arial"/>
          <w:sz w:val="20"/>
          <w:szCs w:val="20"/>
        </w:rPr>
        <w:t>Blood eosinophil levels dropped further after the 40 mg dosage (for a weight of 40 kg) than the baseline average of 306 cells/L, down to 48 cells/L after 52 weeks. These numbers demonstrate 85% and 87% declines, respectively, since the start of the treatment.</w:t>
      </w:r>
      <w:r w:rsidR="00AC42E0" w:rsidRPr="00AC42E0">
        <w:rPr>
          <w:rFonts w:ascii="Arial" w:hAnsi="Arial" w:cs="Arial"/>
          <w:sz w:val="20"/>
          <w:szCs w:val="20"/>
          <w:vertAlign w:val="superscript"/>
        </w:rPr>
        <w:t>24</w:t>
      </w:r>
    </w:p>
    <w:p w14:paraId="11440988" w14:textId="78D7A421" w:rsidR="00AC42E0" w:rsidRPr="00AC42E0" w:rsidRDefault="00440BDE" w:rsidP="00AC42E0">
      <w:pPr>
        <w:spacing w:after="0" w:line="28" w:lineRule="atLeast"/>
        <w:ind w:firstLine="720"/>
        <w:jc w:val="both"/>
        <w:rPr>
          <w:rFonts w:ascii="Arial" w:eastAsia="Times New Roman" w:hAnsi="Arial" w:cs="Arial"/>
          <w:sz w:val="20"/>
          <w:szCs w:val="20"/>
        </w:rPr>
      </w:pPr>
      <w:proofErr w:type="spellStart"/>
      <w:r w:rsidRPr="00440BDE">
        <w:rPr>
          <w:rFonts w:ascii="Arial" w:eastAsia="Gungsuh" w:hAnsi="Arial" w:cs="Arial"/>
          <w:sz w:val="20"/>
          <w:szCs w:val="20"/>
        </w:rPr>
        <w:t>Mepolimuzab</w:t>
      </w:r>
      <w:proofErr w:type="spellEnd"/>
      <w:r w:rsidRPr="00440BDE">
        <w:rPr>
          <w:rFonts w:ascii="Arial" w:eastAsia="Gungsuh" w:hAnsi="Arial" w:cs="Arial"/>
          <w:sz w:val="20"/>
          <w:szCs w:val="20"/>
        </w:rPr>
        <w:t xml:space="preserve"> should be administered parenterally or intravenously to individuals with eosinophilic asthma once every four weeks for 32 weeks, and once every four weeks to patients with eosinophilic granulomatosis polyangiitis. Children under 12 receive the same dosage as an adult, whereas children aged 6 to 11 receive 40 mg once every four weeks for 52 weeks. Mepolizumab comes in vials, prefilled syringes, and prefilled autoinjectors in 10 mL </w:t>
      </w:r>
      <w:proofErr w:type="spellStart"/>
      <w:r w:rsidRPr="00440BDE">
        <w:rPr>
          <w:rFonts w:ascii="Arial" w:eastAsia="Gungsuh" w:hAnsi="Arial" w:cs="Arial"/>
          <w:sz w:val="20"/>
          <w:szCs w:val="20"/>
        </w:rPr>
        <w:t>colorless</w:t>
      </w:r>
      <w:proofErr w:type="spellEnd"/>
      <w:r w:rsidRPr="00440BDE">
        <w:rPr>
          <w:rFonts w:ascii="Arial" w:eastAsia="Gungsuh" w:hAnsi="Arial" w:cs="Arial"/>
          <w:sz w:val="20"/>
          <w:szCs w:val="20"/>
        </w:rPr>
        <w:t xml:space="preserve"> translucent glass bottles with </w:t>
      </w:r>
      <w:proofErr w:type="spellStart"/>
      <w:r w:rsidRPr="00440BDE">
        <w:rPr>
          <w:rFonts w:ascii="Arial" w:eastAsia="Gungsuh" w:hAnsi="Arial" w:cs="Arial"/>
          <w:sz w:val="20"/>
          <w:szCs w:val="20"/>
        </w:rPr>
        <w:t>bromobutyl</w:t>
      </w:r>
      <w:proofErr w:type="spellEnd"/>
      <w:r w:rsidRPr="00440BDE">
        <w:rPr>
          <w:rFonts w:ascii="Arial" w:eastAsia="Gungsuh" w:hAnsi="Arial" w:cs="Arial"/>
          <w:sz w:val="20"/>
          <w:szCs w:val="20"/>
        </w:rPr>
        <w:t xml:space="preserve"> rubber (non-latex) covers, </w:t>
      </w:r>
      <w:proofErr w:type="spellStart"/>
      <w:r w:rsidRPr="00440BDE">
        <w:rPr>
          <w:rFonts w:ascii="Arial" w:eastAsia="Gungsuh" w:hAnsi="Arial" w:cs="Arial"/>
          <w:sz w:val="20"/>
          <w:szCs w:val="20"/>
        </w:rPr>
        <w:t>aluminum</w:t>
      </w:r>
      <w:proofErr w:type="spellEnd"/>
      <w:r w:rsidRPr="00440BDE">
        <w:rPr>
          <w:rFonts w:ascii="Arial" w:eastAsia="Gungsuh" w:hAnsi="Arial" w:cs="Arial"/>
          <w:sz w:val="20"/>
          <w:szCs w:val="20"/>
        </w:rPr>
        <w:t xml:space="preserve"> top seals, and plastic flip tops. 100 mg of powder for injectable solution are contained in each vial. Since a single-use bottle doesn't contain any preservatives, reconstitution needs to be completed in an aseptic setting.</w:t>
      </w:r>
      <w:r w:rsidR="00AC42E0" w:rsidRPr="00AC42E0">
        <w:rPr>
          <w:rFonts w:ascii="Arial" w:eastAsia="Times New Roman" w:hAnsi="Arial" w:cs="Arial"/>
          <w:sz w:val="20"/>
          <w:szCs w:val="20"/>
          <w:vertAlign w:val="superscript"/>
        </w:rPr>
        <w:t>21</w:t>
      </w:r>
    </w:p>
    <w:p w14:paraId="7A2E59A7" w14:textId="77777777" w:rsidR="00AC42E0" w:rsidRPr="00AC42E0" w:rsidRDefault="00AC42E0" w:rsidP="00AC42E0">
      <w:pPr>
        <w:spacing w:after="0" w:line="28" w:lineRule="atLeast"/>
        <w:ind w:firstLine="720"/>
        <w:jc w:val="both"/>
        <w:rPr>
          <w:rFonts w:ascii="Arial" w:hAnsi="Arial" w:cs="Arial"/>
          <w:sz w:val="20"/>
          <w:szCs w:val="20"/>
        </w:rPr>
      </w:pPr>
    </w:p>
    <w:p w14:paraId="5F326529" w14:textId="77777777" w:rsidR="00AC42E0" w:rsidRPr="00AC42E0" w:rsidRDefault="00AC42E0" w:rsidP="00504C0B">
      <w:pPr>
        <w:spacing w:after="0" w:line="28" w:lineRule="atLeast"/>
        <w:jc w:val="both"/>
        <w:rPr>
          <w:rFonts w:ascii="Arial" w:hAnsi="Arial" w:cs="Arial"/>
          <w:b/>
          <w:sz w:val="20"/>
          <w:szCs w:val="20"/>
        </w:rPr>
      </w:pPr>
      <w:r w:rsidRPr="00AC42E0">
        <w:rPr>
          <w:rFonts w:ascii="Arial" w:hAnsi="Arial" w:cs="Arial"/>
          <w:b/>
          <w:sz w:val="20"/>
          <w:szCs w:val="20"/>
        </w:rPr>
        <w:t>Pharmacokinetics Mepolizumab</w:t>
      </w:r>
    </w:p>
    <w:p w14:paraId="2B5FBBB9" w14:textId="00BD2580" w:rsidR="00AC42E0" w:rsidRPr="00AC42E0" w:rsidRDefault="00504C0B" w:rsidP="00AC42E0">
      <w:pPr>
        <w:spacing w:after="0" w:line="28" w:lineRule="atLeast"/>
        <w:ind w:firstLine="720"/>
        <w:jc w:val="both"/>
        <w:rPr>
          <w:rFonts w:ascii="Arial" w:hAnsi="Arial" w:cs="Arial"/>
          <w:sz w:val="20"/>
          <w:szCs w:val="20"/>
        </w:rPr>
      </w:pPr>
      <w:r w:rsidRPr="00504C0B">
        <w:rPr>
          <w:rFonts w:ascii="Arial" w:hAnsi="Arial" w:cs="Arial"/>
          <w:sz w:val="20"/>
          <w:szCs w:val="20"/>
        </w:rPr>
        <w:t xml:space="preserve">Patients with severe asthma receive subcutaneous injections of mepolizumab at a dosage ranging from 12.5 mg to 250 mg. </w:t>
      </w:r>
      <w:proofErr w:type="spellStart"/>
      <w:r w:rsidRPr="00504C0B">
        <w:rPr>
          <w:rFonts w:ascii="Arial" w:hAnsi="Arial" w:cs="Arial"/>
          <w:sz w:val="20"/>
          <w:szCs w:val="20"/>
        </w:rPr>
        <w:t>Tmax</w:t>
      </w:r>
      <w:proofErr w:type="spellEnd"/>
      <w:r w:rsidRPr="00504C0B">
        <w:rPr>
          <w:rFonts w:ascii="Arial" w:hAnsi="Arial" w:cs="Arial"/>
          <w:sz w:val="20"/>
          <w:szCs w:val="20"/>
        </w:rPr>
        <w:t>, which ranges from 4 to 8 days, is a measure of the median time to maximum plasma concentration and it shows that absorption is slow. Mepolizumab's absolute bioavailability was 64%, 71%, or 75% in the belly, thigh, and arm after subcutaneous injection. Mepolizumab accumulation in patients with severe asthma ranged from 74 to 80% when administered subcutaneously, and after repeated injections every four weeks, it was found to be nearly twice as high.</w:t>
      </w:r>
      <w:r w:rsidR="00AC42E0" w:rsidRPr="00AC42E0">
        <w:rPr>
          <w:rFonts w:ascii="Arial" w:hAnsi="Arial" w:cs="Arial"/>
          <w:sz w:val="20"/>
          <w:szCs w:val="20"/>
          <w:vertAlign w:val="superscript"/>
        </w:rPr>
        <w:t>11</w:t>
      </w:r>
    </w:p>
    <w:p w14:paraId="12B17C48" w14:textId="3518530B" w:rsidR="00AC42E0" w:rsidRPr="00AC42E0" w:rsidRDefault="00504C0B" w:rsidP="00AC42E0">
      <w:pPr>
        <w:spacing w:after="0" w:line="28" w:lineRule="atLeast"/>
        <w:ind w:firstLine="720"/>
        <w:jc w:val="both"/>
        <w:rPr>
          <w:rFonts w:ascii="Arial" w:hAnsi="Arial" w:cs="Arial"/>
          <w:sz w:val="20"/>
          <w:szCs w:val="20"/>
        </w:rPr>
      </w:pPr>
      <w:r w:rsidRPr="00504C0B">
        <w:rPr>
          <w:rFonts w:ascii="Arial" w:hAnsi="Arial" w:cs="Arial"/>
          <w:sz w:val="20"/>
          <w:szCs w:val="20"/>
        </w:rPr>
        <w:t>Following a single intravenous infusion, the volume of distribution of mepolizumab in people with severe asthma ranges from 55 to 85 mL/kg. Mepolizumab undergoes biotransformation to become a monoclonal antibody, which is widely distributed throughout the body and degraded by predominate proteolytic enzymes in liver tissue. After a single intravenous administration, the terminal half-life was around 20 days, the subcutaneous half-life ranged from 16 to 22 days, and the systemic clearance ranged from 1.9 to 3.3 mL/day/kg. There, gallbladder secretion occurs. Mepolizumab has an estimated systemic clearance of 3.1 mL/day/kg, according to a pharmacokinetic study. Mepolizumab doesn't have any known drug interactions.</w:t>
      </w:r>
      <w:r w:rsidR="00AC42E0" w:rsidRPr="00AC42E0">
        <w:rPr>
          <w:rFonts w:ascii="Arial" w:hAnsi="Arial" w:cs="Arial"/>
          <w:sz w:val="20"/>
          <w:szCs w:val="20"/>
          <w:vertAlign w:val="superscript"/>
        </w:rPr>
        <w:t>19</w:t>
      </w:r>
    </w:p>
    <w:p w14:paraId="3DF981FD" w14:textId="067CC8C5" w:rsidR="00AC42E0" w:rsidRDefault="00504C0B" w:rsidP="00AC42E0">
      <w:pPr>
        <w:spacing w:after="0" w:line="28" w:lineRule="atLeast"/>
        <w:ind w:firstLine="720"/>
        <w:jc w:val="both"/>
        <w:rPr>
          <w:rFonts w:ascii="Arial" w:hAnsi="Arial" w:cs="Arial"/>
          <w:sz w:val="20"/>
          <w:szCs w:val="20"/>
          <w:vertAlign w:val="superscript"/>
        </w:rPr>
      </w:pPr>
      <w:r w:rsidRPr="00504C0B">
        <w:rPr>
          <w:rFonts w:ascii="Arial" w:hAnsi="Arial" w:cs="Arial"/>
          <w:sz w:val="20"/>
          <w:szCs w:val="20"/>
        </w:rPr>
        <w:t>In preclinical tests, the monoclonal antibody mepolizumab was not shown to be genotoxic or carcinogenic. The drug product is chemically and physically stable while it is still in the carton, maintained in the refrigerator at 2°C-8°C, and shouldn't be frozen until it is used, according to research on the use of mepolizumab with dilution. At 30°C outside of the refrigerator, unopened medication storage is possible for up to 7 days. Mepolizumab must be given soon away to prevent pharmaceutical destruction and microbiological contamination 8 hours after the seal is broken. Medication are put in boxes to protect them from direct light and out of children's reach</w:t>
      </w:r>
      <w:r w:rsidR="00AC42E0" w:rsidRPr="00AC42E0">
        <w:rPr>
          <w:rFonts w:ascii="Arial" w:hAnsi="Arial" w:cs="Arial"/>
          <w:sz w:val="20"/>
          <w:szCs w:val="20"/>
        </w:rPr>
        <w:t>.</w:t>
      </w:r>
      <w:r w:rsidR="00AC42E0" w:rsidRPr="00AC42E0">
        <w:rPr>
          <w:rFonts w:ascii="Arial" w:hAnsi="Arial" w:cs="Arial"/>
          <w:sz w:val="20"/>
          <w:szCs w:val="20"/>
          <w:vertAlign w:val="superscript"/>
        </w:rPr>
        <w:t>21</w:t>
      </w:r>
    </w:p>
    <w:p w14:paraId="27E1FA78" w14:textId="77777777" w:rsidR="00504C0B" w:rsidRPr="00AC42E0" w:rsidRDefault="00504C0B" w:rsidP="00AC42E0">
      <w:pPr>
        <w:spacing w:after="0" w:line="28" w:lineRule="atLeast"/>
        <w:ind w:firstLine="720"/>
        <w:jc w:val="both"/>
        <w:rPr>
          <w:rFonts w:ascii="Arial" w:hAnsi="Arial" w:cs="Arial"/>
          <w:sz w:val="20"/>
          <w:szCs w:val="20"/>
        </w:rPr>
      </w:pPr>
    </w:p>
    <w:p w14:paraId="27FCAAB7" w14:textId="77777777" w:rsidR="00AC42E0" w:rsidRPr="00AC42E0" w:rsidRDefault="00AC42E0" w:rsidP="00504C0B">
      <w:pPr>
        <w:spacing w:after="0" w:line="28" w:lineRule="atLeast"/>
        <w:jc w:val="both"/>
        <w:rPr>
          <w:rFonts w:ascii="Arial" w:hAnsi="Arial" w:cs="Arial"/>
          <w:b/>
          <w:sz w:val="20"/>
          <w:szCs w:val="20"/>
        </w:rPr>
      </w:pPr>
      <w:r w:rsidRPr="00AC42E0">
        <w:rPr>
          <w:rFonts w:ascii="Arial" w:hAnsi="Arial" w:cs="Arial"/>
          <w:b/>
          <w:sz w:val="20"/>
          <w:szCs w:val="20"/>
        </w:rPr>
        <w:t>Benefits and Safety of Mepolizumab</w:t>
      </w:r>
    </w:p>
    <w:p w14:paraId="232E0639" w14:textId="72B97072" w:rsidR="00AC42E0" w:rsidRPr="00AC42E0" w:rsidRDefault="00625A2F" w:rsidP="00AC42E0">
      <w:pPr>
        <w:spacing w:after="0" w:line="28" w:lineRule="atLeast"/>
        <w:ind w:firstLine="720"/>
        <w:jc w:val="both"/>
        <w:rPr>
          <w:rFonts w:ascii="Arial" w:hAnsi="Arial" w:cs="Arial"/>
          <w:sz w:val="20"/>
          <w:szCs w:val="20"/>
        </w:rPr>
      </w:pPr>
      <w:r w:rsidRPr="00625A2F">
        <w:rPr>
          <w:rFonts w:ascii="Arial" w:hAnsi="Arial" w:cs="Arial"/>
          <w:sz w:val="20"/>
          <w:szCs w:val="20"/>
        </w:rPr>
        <w:t>Mepolizumab specifically inhibits IL-5 in eosinophilic inflammation and lowers the amount of sputum and blood eosinophils, which reduces exacerbations, the need for OCS, and improves asthma control, according to the same-named study presented at the international congress of the European Respiratory Society (ERS) and published in the New England Journal of Medicine (NEJM).</w:t>
      </w:r>
      <w:r w:rsidR="00504C0B" w:rsidRPr="00504C0B">
        <w:rPr>
          <w:rFonts w:ascii="Arial" w:hAnsi="Arial" w:cs="Arial"/>
          <w:sz w:val="20"/>
          <w:szCs w:val="20"/>
        </w:rPr>
        <w:t xml:space="preserve"> </w:t>
      </w:r>
      <w:r w:rsidRPr="00625A2F">
        <w:rPr>
          <w:rFonts w:ascii="Arial" w:hAnsi="Arial" w:cs="Arial"/>
          <w:sz w:val="20"/>
          <w:szCs w:val="20"/>
        </w:rPr>
        <w:t>In this placebo-controlled research, 576 patients were randomly assigned to 3 groups, and every four weeks for 32 weeks, either placebo, mepolizumab 100 mg subcutaneously, or mepolizumab 75 mg intravenously, were administered. Clinically significant differences were found between the exacerbation rates of Mepolizumab and placebo, with Mepolizumab administered intravenously to 47% of patients and subcutaneously to 53% of patients.</w:t>
      </w:r>
      <w:r w:rsidR="00AC42E0" w:rsidRPr="00AC42E0">
        <w:rPr>
          <w:rFonts w:ascii="Arial" w:hAnsi="Arial" w:cs="Arial"/>
          <w:sz w:val="20"/>
          <w:szCs w:val="20"/>
          <w:vertAlign w:val="superscript"/>
        </w:rPr>
        <w:t>21,25</w:t>
      </w:r>
    </w:p>
    <w:p w14:paraId="30980A52" w14:textId="49CFAD77" w:rsidR="00AC42E0" w:rsidRPr="00AC42E0" w:rsidRDefault="00504C0B" w:rsidP="00AC42E0">
      <w:pPr>
        <w:spacing w:after="0" w:line="28" w:lineRule="atLeast"/>
        <w:ind w:firstLine="720"/>
        <w:jc w:val="both"/>
        <w:rPr>
          <w:rFonts w:ascii="Arial" w:hAnsi="Arial" w:cs="Arial"/>
          <w:sz w:val="20"/>
          <w:szCs w:val="20"/>
        </w:rPr>
      </w:pPr>
      <w:r w:rsidRPr="00504C0B">
        <w:rPr>
          <w:rFonts w:ascii="Arial" w:hAnsi="Arial" w:cs="Arial"/>
          <w:sz w:val="20"/>
          <w:szCs w:val="20"/>
        </w:rPr>
        <w:t>Mepolizumab was given to 135 individuals with severe eosinophilic asthma who were taking oral glucocorticoids in the Steroid Reduction with Mepolizumab Study (SIRIUS). Compared to the placebo group, the Mepolizumab group exhibited decreased dependency on oral glucocorticoids, according to the data (odds ratio, 2.39; 95% confidence range, 1.25–4.56; p=0.008). There was no difference in the percentage of mean reduction from baseline consumption of glucocorticoids by 50% between the Mepolizumab group and the placebo group. Both subcutaneous and intravenous administration of mepolizumab are equally beneficial in decreasing exacerbations, improving quality of life, and minimizing the requirement for oral glucocorticoids.</w:t>
      </w:r>
      <w:r w:rsidR="00AC42E0" w:rsidRPr="00AC42E0">
        <w:rPr>
          <w:rFonts w:ascii="Arial" w:hAnsi="Arial" w:cs="Arial"/>
          <w:sz w:val="20"/>
          <w:szCs w:val="20"/>
          <w:vertAlign w:val="superscript"/>
        </w:rPr>
        <w:t>25</w:t>
      </w:r>
    </w:p>
    <w:p w14:paraId="334259B9" w14:textId="77777777" w:rsidR="00504C0B" w:rsidRDefault="00504C0B" w:rsidP="00504C0B">
      <w:pPr>
        <w:spacing w:after="0" w:line="28" w:lineRule="atLeast"/>
        <w:jc w:val="both"/>
        <w:rPr>
          <w:rFonts w:ascii="Arial" w:hAnsi="Arial" w:cs="Arial"/>
          <w:b/>
          <w:sz w:val="20"/>
          <w:szCs w:val="20"/>
        </w:rPr>
      </w:pPr>
    </w:p>
    <w:p w14:paraId="53D0AF86" w14:textId="49AAA9D6" w:rsidR="00AC42E0" w:rsidRPr="00AC42E0" w:rsidRDefault="00AC42E0" w:rsidP="00504C0B">
      <w:pPr>
        <w:spacing w:after="0" w:line="28" w:lineRule="atLeast"/>
        <w:jc w:val="both"/>
        <w:rPr>
          <w:rFonts w:ascii="Arial" w:hAnsi="Arial" w:cs="Arial"/>
          <w:b/>
          <w:sz w:val="20"/>
          <w:szCs w:val="20"/>
        </w:rPr>
      </w:pPr>
      <w:r w:rsidRPr="00AC42E0">
        <w:rPr>
          <w:rFonts w:ascii="Arial" w:hAnsi="Arial" w:cs="Arial"/>
          <w:b/>
          <w:sz w:val="20"/>
          <w:szCs w:val="20"/>
        </w:rPr>
        <w:t>Contraindications and side effects of drugs</w:t>
      </w:r>
    </w:p>
    <w:p w14:paraId="07EA8951" w14:textId="27E7D08D" w:rsidR="00AC42E0" w:rsidRPr="00AC42E0" w:rsidRDefault="00504C0B" w:rsidP="00AC42E0">
      <w:pPr>
        <w:spacing w:after="0" w:line="28" w:lineRule="atLeast"/>
        <w:ind w:firstLine="720"/>
        <w:jc w:val="both"/>
        <w:rPr>
          <w:rFonts w:ascii="Arial" w:hAnsi="Arial" w:cs="Arial"/>
          <w:sz w:val="20"/>
          <w:szCs w:val="20"/>
        </w:rPr>
      </w:pPr>
      <w:r w:rsidRPr="00504C0B">
        <w:rPr>
          <w:rFonts w:ascii="Arial" w:hAnsi="Arial" w:cs="Arial"/>
          <w:sz w:val="20"/>
          <w:szCs w:val="20"/>
        </w:rPr>
        <w:t xml:space="preserve">Special consideration should be given to patients who take steroids, have a history of parasitic worm infection, herpes zoster, are children, pregnant, or breastfeeding. Mepolizumab's primary contraindication is hypersensitivity to the medication's components. Negative side effects were common and included headaches (19%), nasopharyngitis (18%), and hypersensitivity reactions (1–10%). Local reactions were seen at 38% of injection locations. The frequency of local symptoms including soreness, </w:t>
      </w:r>
      <w:proofErr w:type="spellStart"/>
      <w:r w:rsidRPr="00504C0B">
        <w:rPr>
          <w:rFonts w:ascii="Arial" w:hAnsi="Arial" w:cs="Arial"/>
          <w:sz w:val="20"/>
          <w:szCs w:val="20"/>
        </w:rPr>
        <w:t>edema</w:t>
      </w:r>
      <w:proofErr w:type="spellEnd"/>
      <w:r w:rsidRPr="00504C0B">
        <w:rPr>
          <w:rFonts w:ascii="Arial" w:hAnsi="Arial" w:cs="Arial"/>
          <w:sz w:val="20"/>
          <w:szCs w:val="20"/>
        </w:rPr>
        <w:t xml:space="preserve">, erythema, </w:t>
      </w:r>
      <w:r w:rsidRPr="00504C0B">
        <w:rPr>
          <w:rFonts w:ascii="Arial" w:hAnsi="Arial" w:cs="Arial"/>
          <w:sz w:val="20"/>
          <w:szCs w:val="20"/>
        </w:rPr>
        <w:lastRenderedPageBreak/>
        <w:t>itching, and burning subsided after the first three injections. Other common reactions include musculoskeletal problems like back pain or muscle spasms, skin diseases including pruritus and dermatitis, and digestive system problems like stomach discomfort.</w:t>
      </w:r>
      <w:r>
        <w:rPr>
          <w:rFonts w:ascii="Arial" w:hAnsi="Arial" w:cs="Arial"/>
          <w:sz w:val="20"/>
          <w:szCs w:val="20"/>
          <w:vertAlign w:val="superscript"/>
        </w:rPr>
        <w:t>23</w:t>
      </w:r>
      <w:r w:rsidRPr="00504C0B">
        <w:rPr>
          <w:rFonts w:ascii="Arial" w:hAnsi="Arial" w:cs="Arial"/>
          <w:sz w:val="20"/>
          <w:szCs w:val="20"/>
        </w:rPr>
        <w:t xml:space="preserve"> Depending on the patient's evaluation cycle, response to therapy, risk of aggravation, and drug side effects, decide how to treat asthma patients.</w:t>
      </w:r>
      <w:r w:rsidR="00AC42E0" w:rsidRPr="00AC42E0">
        <w:rPr>
          <w:rFonts w:ascii="Arial" w:hAnsi="Arial" w:cs="Arial"/>
          <w:sz w:val="20"/>
          <w:szCs w:val="20"/>
          <w:vertAlign w:val="superscript"/>
        </w:rPr>
        <w:t>1</w:t>
      </w:r>
    </w:p>
    <w:p w14:paraId="2A500117" w14:textId="77777777" w:rsidR="00504C0B" w:rsidRDefault="00504C0B" w:rsidP="00504C0B">
      <w:pPr>
        <w:pStyle w:val="Heading1"/>
        <w:spacing w:before="0" w:line="28" w:lineRule="atLeast"/>
        <w:rPr>
          <w:rFonts w:ascii="Arial" w:hAnsi="Arial" w:cs="Arial"/>
          <w:sz w:val="20"/>
          <w:szCs w:val="20"/>
        </w:rPr>
      </w:pPr>
    </w:p>
    <w:p w14:paraId="2DF44651" w14:textId="033884EC" w:rsidR="0019718A" w:rsidRPr="00AC42E0" w:rsidRDefault="0019718A" w:rsidP="00504C0B">
      <w:pPr>
        <w:pStyle w:val="Heading1"/>
        <w:spacing w:before="0" w:line="28" w:lineRule="atLeast"/>
        <w:rPr>
          <w:rFonts w:ascii="Arial" w:hAnsi="Arial" w:cs="Arial"/>
          <w:bCs/>
          <w:color w:val="1F3864" w:themeColor="accent1" w:themeShade="80"/>
          <w:sz w:val="20"/>
          <w:szCs w:val="20"/>
          <w:lang w:val="en-ID"/>
        </w:rPr>
      </w:pPr>
      <w:r w:rsidRPr="00AC42E0">
        <w:rPr>
          <w:rFonts w:ascii="Arial" w:hAnsi="Arial" w:cs="Arial"/>
          <w:sz w:val="20"/>
          <w:szCs w:val="20"/>
        </w:rPr>
        <w:t>CONCLUSION</w:t>
      </w:r>
    </w:p>
    <w:p w14:paraId="0E682C91" w14:textId="77777777" w:rsidR="00AC42E0" w:rsidRDefault="00AC42E0" w:rsidP="00AC42E0">
      <w:pPr>
        <w:spacing w:after="0" w:line="28" w:lineRule="atLeast"/>
        <w:ind w:firstLine="720"/>
        <w:jc w:val="both"/>
        <w:rPr>
          <w:rFonts w:ascii="Arial" w:eastAsia="Times New Roman" w:hAnsi="Arial" w:cs="Arial"/>
          <w:sz w:val="20"/>
          <w:szCs w:val="20"/>
        </w:rPr>
      </w:pPr>
      <w:r w:rsidRPr="00AC42E0">
        <w:rPr>
          <w:rFonts w:ascii="Arial" w:eastAsia="Times New Roman" w:hAnsi="Arial" w:cs="Arial"/>
          <w:sz w:val="20"/>
          <w:szCs w:val="20"/>
        </w:rPr>
        <w:t>The 2022 GINA recommendations state that severe asthma remains uncontrolled despite optimal patient adherence to high-dose ICS-LABA and effective management of precipitating causes or worsening asthma when high-dose therapy is discontinued. The injection of monoclonal antibodies, such as mepolizumab, as a form of therapy in addition to treating severe eosinophilic asthma is advised by the GINA guideline for 2022. Mepolizumab's method of action blocks IL-5 from binding to receptors on eosinophil surfaces, which lowers eosinophil recruitment, activation, production, growth, and survival as well as eosinophil-mediated inflammation. Mepolizumab is effective in improving quality of life, lowering the need for oral corticosteroids, and reducing the frequency of asthma attacks.</w:t>
      </w:r>
    </w:p>
    <w:p w14:paraId="62AAD949" w14:textId="77777777" w:rsidR="00504C0B" w:rsidRPr="00AC42E0" w:rsidRDefault="00504C0B" w:rsidP="00AC42E0">
      <w:pPr>
        <w:spacing w:after="0" w:line="28" w:lineRule="atLeast"/>
        <w:ind w:firstLine="720"/>
        <w:jc w:val="both"/>
        <w:rPr>
          <w:rFonts w:ascii="Arial" w:eastAsia="Times New Roman" w:hAnsi="Arial" w:cs="Arial"/>
          <w:sz w:val="20"/>
          <w:szCs w:val="20"/>
        </w:rPr>
      </w:pPr>
    </w:p>
    <w:p w14:paraId="37B48705" w14:textId="4F5EC2CD" w:rsidR="00CA3C5D" w:rsidRDefault="00CA3C5D" w:rsidP="00504C0B">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Acknowledgments</w:t>
      </w:r>
    </w:p>
    <w:p w14:paraId="299BBEB5" w14:textId="483437E1" w:rsidR="00CA3C5D" w:rsidRDefault="00504C0B" w:rsidP="00504C0B">
      <w:pPr>
        <w:widowControl w:val="0"/>
        <w:autoSpaceDE w:val="0"/>
        <w:autoSpaceDN w:val="0"/>
        <w:adjustRightInd w:val="0"/>
        <w:spacing w:before="34" w:after="0" w:line="240" w:lineRule="auto"/>
        <w:ind w:right="32" w:firstLine="720"/>
        <w:jc w:val="both"/>
        <w:rPr>
          <w:rFonts w:ascii="Arial" w:hAnsi="Arial" w:cs="Arial"/>
          <w:bCs/>
          <w:sz w:val="20"/>
          <w:lang w:val="en-US"/>
        </w:rPr>
      </w:pPr>
      <w:r w:rsidRPr="00504C0B">
        <w:rPr>
          <w:rFonts w:ascii="Arial" w:hAnsi="Arial" w:cs="Arial"/>
          <w:bCs/>
          <w:sz w:val="20"/>
          <w:lang w:val="en-US"/>
        </w:rPr>
        <w:t xml:space="preserve">We would like to express our gratitude to Dr. Indra </w:t>
      </w:r>
      <w:proofErr w:type="spellStart"/>
      <w:r w:rsidRPr="00504C0B">
        <w:rPr>
          <w:rFonts w:ascii="Arial" w:hAnsi="Arial" w:cs="Arial"/>
          <w:bCs/>
          <w:sz w:val="20"/>
          <w:lang w:val="en-US"/>
        </w:rPr>
        <w:t>Yovi</w:t>
      </w:r>
      <w:proofErr w:type="spellEnd"/>
      <w:r w:rsidRPr="00504C0B">
        <w:rPr>
          <w:rFonts w:ascii="Arial" w:hAnsi="Arial" w:cs="Arial"/>
          <w:bCs/>
          <w:sz w:val="20"/>
          <w:lang w:val="en-US"/>
        </w:rPr>
        <w:t xml:space="preserve">, </w:t>
      </w:r>
      <w:proofErr w:type="spellStart"/>
      <w:r w:rsidRPr="00504C0B">
        <w:rPr>
          <w:rFonts w:ascii="Arial" w:hAnsi="Arial" w:cs="Arial"/>
          <w:bCs/>
          <w:sz w:val="20"/>
          <w:lang w:val="en-US"/>
        </w:rPr>
        <w:t>Sp.P</w:t>
      </w:r>
      <w:proofErr w:type="spellEnd"/>
      <w:r w:rsidRPr="00504C0B">
        <w:rPr>
          <w:rFonts w:ascii="Arial" w:hAnsi="Arial" w:cs="Arial"/>
          <w:bCs/>
          <w:sz w:val="20"/>
          <w:lang w:val="en-US"/>
        </w:rPr>
        <w:t>(K), Head of the Pulmonology and Respiratory Medicine Department at Arifin Achmad General Hospital in Riau Province.</w:t>
      </w:r>
    </w:p>
    <w:p w14:paraId="291173C1" w14:textId="77777777" w:rsidR="00504C0B" w:rsidRDefault="00504C0B" w:rsidP="00504C0B">
      <w:pPr>
        <w:widowControl w:val="0"/>
        <w:autoSpaceDE w:val="0"/>
        <w:autoSpaceDN w:val="0"/>
        <w:adjustRightInd w:val="0"/>
        <w:spacing w:before="34" w:after="0" w:line="240" w:lineRule="auto"/>
        <w:ind w:right="32" w:firstLine="720"/>
        <w:jc w:val="both"/>
        <w:rPr>
          <w:rFonts w:ascii="Arial" w:hAnsi="Arial" w:cs="Arial"/>
          <w:b/>
          <w:bCs/>
          <w:color w:val="363435"/>
          <w:sz w:val="20"/>
          <w:szCs w:val="20"/>
        </w:rPr>
      </w:pPr>
    </w:p>
    <w:p w14:paraId="138865CC" w14:textId="2B8D2803" w:rsidR="00CA3C5D" w:rsidRDefault="00CA3C5D" w:rsidP="00AC42E0">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Conflict of Interest </w:t>
      </w:r>
    </w:p>
    <w:p w14:paraId="72B5F77B" w14:textId="77777777" w:rsidR="00CA3C5D" w:rsidRDefault="00CA3C5D" w:rsidP="00AC42E0">
      <w:pPr>
        <w:widowControl w:val="0"/>
        <w:autoSpaceDE w:val="0"/>
        <w:autoSpaceDN w:val="0"/>
        <w:adjustRightInd w:val="0"/>
        <w:spacing w:before="3" w:after="0" w:line="200" w:lineRule="exact"/>
        <w:ind w:right="32"/>
        <w:jc w:val="both"/>
        <w:rPr>
          <w:rFonts w:ascii="Arial" w:hAnsi="Arial" w:cs="Arial"/>
          <w:color w:val="000000"/>
          <w:sz w:val="20"/>
          <w:szCs w:val="20"/>
        </w:rPr>
      </w:pPr>
    </w:p>
    <w:p w14:paraId="49E4289D" w14:textId="42BF3A17" w:rsidR="00CA3C5D" w:rsidRPr="00E344E0" w:rsidRDefault="00504C0B" w:rsidP="00AC42E0">
      <w:pPr>
        <w:widowControl w:val="0"/>
        <w:autoSpaceDE w:val="0"/>
        <w:autoSpaceDN w:val="0"/>
        <w:adjustRightInd w:val="0"/>
        <w:spacing w:after="0" w:line="333" w:lineRule="auto"/>
        <w:ind w:right="32" w:firstLine="567"/>
        <w:jc w:val="both"/>
        <w:rPr>
          <w:rFonts w:ascii="Arial" w:hAnsi="Arial" w:cs="Arial"/>
          <w:bCs/>
          <w:sz w:val="20"/>
        </w:rPr>
      </w:pPr>
      <w:r>
        <w:rPr>
          <w:rFonts w:ascii="Arial" w:hAnsi="Arial" w:cs="Arial"/>
          <w:bCs/>
          <w:sz w:val="20"/>
          <w:lang w:val="en-US"/>
        </w:rPr>
        <w:t>All authors declare no conflict of interest</w:t>
      </w:r>
    </w:p>
    <w:p w14:paraId="30C2C7E3" w14:textId="66DE697A" w:rsidR="00C93018" w:rsidRDefault="00C93018" w:rsidP="00AC42E0">
      <w:pPr>
        <w:widowControl w:val="0"/>
        <w:autoSpaceDE w:val="0"/>
        <w:autoSpaceDN w:val="0"/>
        <w:adjustRightInd w:val="0"/>
        <w:spacing w:after="0" w:line="333" w:lineRule="auto"/>
        <w:ind w:right="32" w:firstLine="567"/>
        <w:jc w:val="both"/>
        <w:rPr>
          <w:rFonts w:ascii="Arial" w:hAnsi="Arial" w:cs="Arial"/>
          <w:bCs/>
          <w:sz w:val="20"/>
        </w:rPr>
      </w:pPr>
    </w:p>
    <w:p w14:paraId="66AD1DDF" w14:textId="0186CDAD" w:rsidR="00CA3C5D" w:rsidRDefault="00CA3C5D" w:rsidP="00AC42E0">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 xml:space="preserve">Funding </w:t>
      </w:r>
    </w:p>
    <w:p w14:paraId="1A5FDB0A" w14:textId="77777777" w:rsidR="00CA3C5D" w:rsidRDefault="00CA3C5D" w:rsidP="00AC42E0">
      <w:pPr>
        <w:widowControl w:val="0"/>
        <w:autoSpaceDE w:val="0"/>
        <w:autoSpaceDN w:val="0"/>
        <w:adjustRightInd w:val="0"/>
        <w:spacing w:before="3" w:after="0" w:line="200" w:lineRule="exact"/>
        <w:ind w:right="32"/>
        <w:jc w:val="both"/>
        <w:rPr>
          <w:rFonts w:ascii="Arial" w:hAnsi="Arial" w:cs="Arial"/>
          <w:color w:val="000000"/>
          <w:sz w:val="20"/>
          <w:szCs w:val="20"/>
        </w:rPr>
      </w:pPr>
    </w:p>
    <w:p w14:paraId="6A62DF1B" w14:textId="26A40AA0" w:rsidR="00CA3C5D" w:rsidRPr="00E344E0" w:rsidRDefault="00504C0B" w:rsidP="00AC42E0">
      <w:pPr>
        <w:widowControl w:val="0"/>
        <w:autoSpaceDE w:val="0"/>
        <w:autoSpaceDN w:val="0"/>
        <w:adjustRightInd w:val="0"/>
        <w:spacing w:after="0" w:line="333" w:lineRule="auto"/>
        <w:ind w:right="32" w:firstLine="567"/>
        <w:jc w:val="both"/>
        <w:rPr>
          <w:rFonts w:ascii="Arial" w:hAnsi="Arial" w:cs="Arial"/>
          <w:bCs/>
          <w:sz w:val="20"/>
        </w:rPr>
      </w:pPr>
      <w:r>
        <w:rPr>
          <w:rFonts w:ascii="Arial" w:hAnsi="Arial" w:cs="Arial"/>
          <w:bCs/>
          <w:sz w:val="20"/>
          <w:lang w:val="en-US"/>
        </w:rPr>
        <w:t>All authors declare no organization/individual fund support for this article</w:t>
      </w:r>
    </w:p>
    <w:p w14:paraId="7D815BD6" w14:textId="77777777" w:rsidR="00CA3C5D" w:rsidRDefault="00CA3C5D" w:rsidP="00C93018">
      <w:pPr>
        <w:widowControl w:val="0"/>
        <w:autoSpaceDE w:val="0"/>
        <w:autoSpaceDN w:val="0"/>
        <w:adjustRightInd w:val="0"/>
        <w:spacing w:after="0" w:line="333" w:lineRule="auto"/>
        <w:ind w:right="32" w:firstLine="567"/>
        <w:jc w:val="both"/>
        <w:rPr>
          <w:rFonts w:ascii="Arial" w:hAnsi="Arial" w:cs="Arial"/>
          <w:bCs/>
          <w:sz w:val="20"/>
        </w:rPr>
      </w:pPr>
    </w:p>
    <w:p w14:paraId="3B7B2FE6" w14:textId="793857A2" w:rsidR="00EC49FC" w:rsidRDefault="00CA3C5D" w:rsidP="00EC49FC">
      <w:pPr>
        <w:widowControl w:val="0"/>
        <w:autoSpaceDE w:val="0"/>
        <w:autoSpaceDN w:val="0"/>
        <w:adjustRightInd w:val="0"/>
        <w:spacing w:before="34" w:after="0" w:line="240" w:lineRule="auto"/>
        <w:ind w:right="32"/>
        <w:jc w:val="both"/>
        <w:rPr>
          <w:rFonts w:ascii="Arial" w:hAnsi="Arial" w:cs="Arial"/>
          <w:color w:val="000000"/>
          <w:sz w:val="20"/>
          <w:szCs w:val="20"/>
        </w:rPr>
      </w:pPr>
      <w:r>
        <w:rPr>
          <w:rFonts w:ascii="Arial" w:hAnsi="Arial" w:cs="Arial"/>
          <w:b/>
          <w:bCs/>
          <w:color w:val="363435"/>
          <w:sz w:val="20"/>
          <w:szCs w:val="20"/>
        </w:rPr>
        <w:t>REFFERENCE</w:t>
      </w:r>
      <w:r w:rsidR="00C93018">
        <w:rPr>
          <w:rFonts w:ascii="Arial" w:hAnsi="Arial" w:cs="Arial"/>
          <w:b/>
          <w:bCs/>
          <w:color w:val="363435"/>
          <w:sz w:val="20"/>
          <w:szCs w:val="20"/>
        </w:rPr>
        <w:t xml:space="preserve"> </w:t>
      </w:r>
    </w:p>
    <w:p w14:paraId="7FE96720" w14:textId="77777777" w:rsidR="00C93018" w:rsidRDefault="00C93018" w:rsidP="00C93018">
      <w:pPr>
        <w:widowControl w:val="0"/>
        <w:autoSpaceDE w:val="0"/>
        <w:autoSpaceDN w:val="0"/>
        <w:adjustRightInd w:val="0"/>
        <w:spacing w:before="34" w:after="0" w:line="240" w:lineRule="auto"/>
        <w:ind w:right="32"/>
        <w:rPr>
          <w:rFonts w:ascii="Arial" w:hAnsi="Arial" w:cs="Arial"/>
          <w:color w:val="000000"/>
          <w:sz w:val="20"/>
          <w:szCs w:val="20"/>
        </w:rPr>
      </w:pPr>
    </w:p>
    <w:p w14:paraId="0DCB39F2"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Global </w:t>
      </w:r>
      <w:proofErr w:type="spellStart"/>
      <w:r w:rsidRPr="0019718A">
        <w:rPr>
          <w:rFonts w:ascii="Arial" w:hAnsi="Arial" w:cs="Arial"/>
          <w:sz w:val="20"/>
          <w:szCs w:val="20"/>
          <w:lang w:val="en-ID"/>
        </w:rPr>
        <w:t>initiatiative</w:t>
      </w:r>
      <w:proofErr w:type="spellEnd"/>
      <w:r w:rsidRPr="0019718A">
        <w:rPr>
          <w:rFonts w:ascii="Arial" w:hAnsi="Arial" w:cs="Arial"/>
          <w:sz w:val="20"/>
          <w:szCs w:val="20"/>
          <w:lang w:val="en-ID"/>
        </w:rPr>
        <w:t xml:space="preserve"> for asthma (GINA). Global strategy for asthma management and prevention. 2022.</w:t>
      </w:r>
    </w:p>
    <w:p w14:paraId="487AA44C" w14:textId="77777777" w:rsidR="0019718A" w:rsidRPr="0019718A" w:rsidRDefault="0019718A" w:rsidP="0019718A">
      <w:pPr>
        <w:pStyle w:val="ListParagraph"/>
        <w:numPr>
          <w:ilvl w:val="0"/>
          <w:numId w:val="5"/>
        </w:numPr>
        <w:spacing w:line="276" w:lineRule="auto"/>
        <w:ind w:left="450" w:right="-1"/>
        <w:rPr>
          <w:rFonts w:ascii="Arial" w:hAnsi="Arial" w:cs="Arial"/>
          <w:i/>
          <w:iCs/>
          <w:sz w:val="20"/>
          <w:szCs w:val="20"/>
          <w:lang w:val="en-US"/>
        </w:rPr>
      </w:pPr>
      <w:proofErr w:type="spellStart"/>
      <w:r w:rsidRPr="0019718A">
        <w:rPr>
          <w:rFonts w:ascii="Arial" w:hAnsi="Arial" w:cs="Arial"/>
          <w:sz w:val="20"/>
          <w:szCs w:val="20"/>
          <w:lang w:val="en-US"/>
        </w:rPr>
        <w:t>Dragonieri</w:t>
      </w:r>
      <w:proofErr w:type="spellEnd"/>
      <w:r w:rsidRPr="0019718A">
        <w:rPr>
          <w:rFonts w:ascii="Arial" w:hAnsi="Arial" w:cs="Arial"/>
          <w:sz w:val="20"/>
          <w:szCs w:val="20"/>
          <w:lang w:val="en-US"/>
        </w:rPr>
        <w:t xml:space="preserve"> S, </w:t>
      </w:r>
      <w:proofErr w:type="spellStart"/>
      <w:r w:rsidRPr="0019718A">
        <w:rPr>
          <w:rFonts w:ascii="Arial" w:hAnsi="Arial" w:cs="Arial"/>
          <w:sz w:val="20"/>
          <w:szCs w:val="20"/>
          <w:lang w:val="en-US"/>
        </w:rPr>
        <w:t>Carpagnano</w:t>
      </w:r>
      <w:proofErr w:type="spellEnd"/>
      <w:r w:rsidRPr="0019718A">
        <w:rPr>
          <w:rFonts w:ascii="Arial" w:hAnsi="Arial" w:cs="Arial"/>
          <w:sz w:val="20"/>
          <w:szCs w:val="20"/>
          <w:lang w:val="en-US"/>
        </w:rPr>
        <w:t xml:space="preserve"> GS. Biological therapy for severe asthma. </w:t>
      </w:r>
      <w:r w:rsidRPr="0019718A">
        <w:rPr>
          <w:rFonts w:ascii="Arial" w:hAnsi="Arial" w:cs="Arial"/>
          <w:i/>
          <w:iCs/>
          <w:sz w:val="20"/>
          <w:szCs w:val="20"/>
          <w:lang w:val="en-US"/>
        </w:rPr>
        <w:t xml:space="preserve">Asthma res and </w:t>
      </w:r>
      <w:proofErr w:type="spellStart"/>
      <w:r w:rsidRPr="0019718A">
        <w:rPr>
          <w:rFonts w:ascii="Arial" w:hAnsi="Arial" w:cs="Arial"/>
          <w:i/>
          <w:iCs/>
          <w:sz w:val="20"/>
          <w:szCs w:val="20"/>
          <w:lang w:val="en-US"/>
        </w:rPr>
        <w:t>pract</w:t>
      </w:r>
      <w:proofErr w:type="spellEnd"/>
      <w:r w:rsidRPr="0019718A">
        <w:rPr>
          <w:rFonts w:ascii="Arial" w:hAnsi="Arial" w:cs="Arial"/>
          <w:i/>
          <w:iCs/>
          <w:sz w:val="20"/>
          <w:szCs w:val="20"/>
          <w:lang w:val="en-US"/>
        </w:rPr>
        <w:t>.</w:t>
      </w:r>
      <w:r w:rsidRPr="0019718A">
        <w:rPr>
          <w:rFonts w:ascii="Arial" w:hAnsi="Arial" w:cs="Arial"/>
          <w:sz w:val="20"/>
          <w:szCs w:val="20"/>
          <w:lang w:val="en-US"/>
        </w:rPr>
        <w:t xml:space="preserve"> 2021; 7: 12‒9.</w:t>
      </w:r>
    </w:p>
    <w:p w14:paraId="23FDD7F8"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Csoma Z, Gai Z, </w:t>
      </w:r>
      <w:proofErr w:type="spellStart"/>
      <w:r w:rsidRPr="0019718A">
        <w:rPr>
          <w:rFonts w:ascii="Arial" w:hAnsi="Arial" w:cs="Arial"/>
          <w:sz w:val="20"/>
          <w:szCs w:val="20"/>
          <w:lang w:val="en-ID"/>
        </w:rPr>
        <w:t>Gezsi</w:t>
      </w:r>
      <w:proofErr w:type="spellEnd"/>
      <w:r w:rsidRPr="0019718A">
        <w:rPr>
          <w:rFonts w:ascii="Arial" w:hAnsi="Arial" w:cs="Arial"/>
          <w:sz w:val="20"/>
          <w:szCs w:val="20"/>
          <w:lang w:val="en-ID"/>
        </w:rPr>
        <w:t xml:space="preserve"> A, </w:t>
      </w:r>
      <w:proofErr w:type="spellStart"/>
      <w:r w:rsidRPr="0019718A">
        <w:rPr>
          <w:rFonts w:ascii="Arial" w:hAnsi="Arial" w:cs="Arial"/>
          <w:sz w:val="20"/>
          <w:szCs w:val="20"/>
          <w:lang w:val="en-ID"/>
        </w:rPr>
        <w:t>Herjavez</w:t>
      </w:r>
      <w:proofErr w:type="spellEnd"/>
      <w:r w:rsidRPr="0019718A">
        <w:rPr>
          <w:rFonts w:ascii="Arial" w:hAnsi="Arial" w:cs="Arial"/>
          <w:sz w:val="20"/>
          <w:szCs w:val="20"/>
          <w:lang w:val="en-ID"/>
        </w:rPr>
        <w:t xml:space="preserve"> I, Szalai C. prevalence and characterization of severe asthma in Hungary. </w:t>
      </w:r>
      <w:r w:rsidRPr="0019718A">
        <w:rPr>
          <w:rFonts w:ascii="Arial" w:hAnsi="Arial" w:cs="Arial"/>
          <w:i/>
          <w:iCs/>
          <w:sz w:val="20"/>
          <w:szCs w:val="20"/>
          <w:lang w:val="en-ID"/>
        </w:rPr>
        <w:t xml:space="preserve">Sci reports. </w:t>
      </w:r>
      <w:r w:rsidRPr="0019718A">
        <w:rPr>
          <w:rFonts w:ascii="Arial" w:hAnsi="Arial" w:cs="Arial"/>
          <w:sz w:val="20"/>
          <w:szCs w:val="20"/>
          <w:lang w:val="en-ID"/>
        </w:rPr>
        <w:t>2020</w:t>
      </w:r>
      <w:r w:rsidRPr="0019718A">
        <w:rPr>
          <w:rFonts w:ascii="Arial" w:hAnsi="Arial" w:cs="Arial"/>
          <w:sz w:val="20"/>
          <w:szCs w:val="20"/>
        </w:rPr>
        <w:t>; 4: 41‒9.</w:t>
      </w:r>
    </w:p>
    <w:p w14:paraId="5C530F32"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Salmi ST, Lemmetyinen R, Chanoine S, Karjalainen J, Pekkanen J, Bousquet J et al. </w:t>
      </w:r>
      <w:r w:rsidRPr="0019718A">
        <w:rPr>
          <w:rFonts w:ascii="Arial" w:hAnsi="Arial" w:cs="Arial"/>
          <w:sz w:val="20"/>
          <w:szCs w:val="20"/>
          <w:lang w:val="en-ID"/>
        </w:rPr>
        <w:t xml:space="preserve">Risk factor for severe adult-onset asthma. </w:t>
      </w:r>
      <w:r w:rsidRPr="0019718A">
        <w:rPr>
          <w:rFonts w:ascii="Arial" w:hAnsi="Arial" w:cs="Arial"/>
          <w:i/>
          <w:iCs/>
          <w:sz w:val="20"/>
          <w:szCs w:val="20"/>
          <w:lang w:val="en-ID"/>
        </w:rPr>
        <w:t>BMC pulmonary med. 2</w:t>
      </w:r>
      <w:r w:rsidRPr="0019718A">
        <w:rPr>
          <w:rFonts w:ascii="Arial" w:hAnsi="Arial" w:cs="Arial"/>
          <w:sz w:val="20"/>
          <w:szCs w:val="20"/>
          <w:lang w:val="en-ID"/>
        </w:rPr>
        <w:t>021</w:t>
      </w:r>
      <w:r w:rsidRPr="0019718A">
        <w:rPr>
          <w:rFonts w:ascii="Arial" w:hAnsi="Arial" w:cs="Arial"/>
          <w:sz w:val="20"/>
          <w:szCs w:val="20"/>
        </w:rPr>
        <w:t>; 23: 125‒32.</w:t>
      </w:r>
      <w:r w:rsidRPr="0019718A">
        <w:rPr>
          <w:rFonts w:ascii="Arial" w:hAnsi="Arial" w:cs="Arial"/>
          <w:sz w:val="20"/>
          <w:szCs w:val="20"/>
          <w:lang w:val="en-ID"/>
        </w:rPr>
        <w:t xml:space="preserve"> </w:t>
      </w:r>
    </w:p>
    <w:p w14:paraId="797AE3A7"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proofErr w:type="spellStart"/>
      <w:r w:rsidRPr="0019718A">
        <w:rPr>
          <w:rFonts w:ascii="Arial" w:hAnsi="Arial" w:cs="Arial"/>
          <w:sz w:val="20"/>
          <w:szCs w:val="20"/>
          <w:lang w:val="en-ID"/>
        </w:rPr>
        <w:t>Piuvezam</w:t>
      </w:r>
      <w:proofErr w:type="spellEnd"/>
      <w:r w:rsidRPr="0019718A">
        <w:rPr>
          <w:rFonts w:ascii="Arial" w:hAnsi="Arial" w:cs="Arial"/>
          <w:sz w:val="20"/>
          <w:szCs w:val="20"/>
          <w:lang w:val="en-ID"/>
        </w:rPr>
        <w:t xml:space="preserve"> MR, Ferreira LKDP. Severe asthma update therapy approach based on phenotype and biomarker.</w:t>
      </w:r>
      <w:r w:rsidRPr="0019718A">
        <w:rPr>
          <w:rFonts w:ascii="Arial" w:hAnsi="Arial" w:cs="Arial"/>
          <w:i/>
          <w:iCs/>
          <w:sz w:val="20"/>
          <w:szCs w:val="20"/>
          <w:lang w:val="en-ID"/>
        </w:rPr>
        <w:t xml:space="preserve"> </w:t>
      </w:r>
      <w:proofErr w:type="spellStart"/>
      <w:r w:rsidRPr="0019718A">
        <w:rPr>
          <w:rFonts w:ascii="Arial" w:hAnsi="Arial" w:cs="Arial"/>
          <w:i/>
          <w:iCs/>
          <w:sz w:val="20"/>
          <w:szCs w:val="20"/>
          <w:lang w:val="en-ID"/>
        </w:rPr>
        <w:t>Intechopen</w:t>
      </w:r>
      <w:proofErr w:type="spellEnd"/>
      <w:r w:rsidRPr="0019718A">
        <w:rPr>
          <w:rFonts w:ascii="Arial" w:hAnsi="Arial" w:cs="Arial"/>
          <w:sz w:val="20"/>
          <w:szCs w:val="20"/>
          <w:lang w:val="en-ID"/>
        </w:rPr>
        <w:t>. 2018</w:t>
      </w:r>
      <w:r w:rsidRPr="0019718A">
        <w:rPr>
          <w:rFonts w:ascii="Arial" w:hAnsi="Arial" w:cs="Arial"/>
          <w:sz w:val="20"/>
          <w:szCs w:val="20"/>
        </w:rPr>
        <w:t>; 8: 36‒49.</w:t>
      </w:r>
    </w:p>
    <w:p w14:paraId="7A7C6C7C" w14:textId="77777777" w:rsidR="0019718A" w:rsidRPr="0019718A" w:rsidRDefault="0019718A" w:rsidP="0019718A">
      <w:pPr>
        <w:pStyle w:val="ListParagraph"/>
        <w:numPr>
          <w:ilvl w:val="0"/>
          <w:numId w:val="5"/>
        </w:numPr>
        <w:spacing w:line="276" w:lineRule="auto"/>
        <w:ind w:left="450" w:right="-1"/>
        <w:rPr>
          <w:rFonts w:ascii="Arial" w:hAnsi="Arial" w:cs="Arial"/>
          <w:sz w:val="20"/>
          <w:szCs w:val="20"/>
          <w:lang w:val="en-US"/>
        </w:rPr>
      </w:pPr>
      <w:proofErr w:type="spellStart"/>
      <w:r w:rsidRPr="0019718A">
        <w:rPr>
          <w:rFonts w:ascii="Arial" w:hAnsi="Arial" w:cs="Arial"/>
          <w:sz w:val="20"/>
          <w:szCs w:val="20"/>
          <w:lang w:val="en-US"/>
        </w:rPr>
        <w:t>Perhimpunan</w:t>
      </w:r>
      <w:proofErr w:type="spellEnd"/>
      <w:r w:rsidRPr="0019718A">
        <w:rPr>
          <w:rFonts w:ascii="Arial" w:hAnsi="Arial" w:cs="Arial"/>
          <w:sz w:val="20"/>
          <w:szCs w:val="20"/>
          <w:lang w:val="en-US"/>
        </w:rPr>
        <w:t xml:space="preserve"> Dokter Paru Indonesia. </w:t>
      </w:r>
      <w:proofErr w:type="spellStart"/>
      <w:r w:rsidRPr="0019718A">
        <w:rPr>
          <w:rFonts w:ascii="Arial" w:hAnsi="Arial" w:cs="Arial"/>
          <w:sz w:val="20"/>
          <w:szCs w:val="20"/>
          <w:lang w:val="en-US"/>
        </w:rPr>
        <w:t>Pedoman</w:t>
      </w:r>
      <w:proofErr w:type="spellEnd"/>
      <w:r w:rsidRPr="0019718A">
        <w:rPr>
          <w:rFonts w:ascii="Arial" w:hAnsi="Arial" w:cs="Arial"/>
          <w:sz w:val="20"/>
          <w:szCs w:val="20"/>
          <w:lang w:val="en-US"/>
        </w:rPr>
        <w:t xml:space="preserve"> diagnosis &amp; </w:t>
      </w:r>
      <w:proofErr w:type="spellStart"/>
      <w:r w:rsidRPr="0019718A">
        <w:rPr>
          <w:rFonts w:ascii="Arial" w:hAnsi="Arial" w:cs="Arial"/>
          <w:sz w:val="20"/>
          <w:szCs w:val="20"/>
          <w:lang w:val="en-US"/>
        </w:rPr>
        <w:t>penatalaksanaan</w:t>
      </w:r>
      <w:proofErr w:type="spellEnd"/>
      <w:r w:rsidRPr="0019718A">
        <w:rPr>
          <w:rFonts w:ascii="Arial" w:hAnsi="Arial" w:cs="Arial"/>
          <w:sz w:val="20"/>
          <w:szCs w:val="20"/>
          <w:lang w:val="en-US"/>
        </w:rPr>
        <w:t xml:space="preserve"> </w:t>
      </w:r>
      <w:proofErr w:type="spellStart"/>
      <w:r w:rsidRPr="0019718A">
        <w:rPr>
          <w:rFonts w:ascii="Arial" w:hAnsi="Arial" w:cs="Arial"/>
          <w:sz w:val="20"/>
          <w:szCs w:val="20"/>
          <w:lang w:val="en-US"/>
        </w:rPr>
        <w:t>asma</w:t>
      </w:r>
      <w:proofErr w:type="spellEnd"/>
      <w:r w:rsidRPr="0019718A">
        <w:rPr>
          <w:rFonts w:ascii="Arial" w:hAnsi="Arial" w:cs="Arial"/>
          <w:sz w:val="20"/>
          <w:szCs w:val="20"/>
          <w:lang w:val="en-US"/>
        </w:rPr>
        <w:t xml:space="preserve"> di Indonesia. 2021.</w:t>
      </w:r>
    </w:p>
    <w:p w14:paraId="125AC3C4"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proofErr w:type="spellStart"/>
      <w:r w:rsidRPr="0019718A">
        <w:rPr>
          <w:rFonts w:ascii="Arial" w:hAnsi="Arial" w:cs="Arial"/>
          <w:sz w:val="20"/>
          <w:szCs w:val="20"/>
          <w:lang w:val="en-ID"/>
        </w:rPr>
        <w:t>Noujeim</w:t>
      </w:r>
      <w:proofErr w:type="spellEnd"/>
      <w:r w:rsidRPr="0019718A">
        <w:rPr>
          <w:rFonts w:ascii="Arial" w:hAnsi="Arial" w:cs="Arial"/>
          <w:sz w:val="20"/>
          <w:szCs w:val="20"/>
          <w:lang w:val="en-ID"/>
        </w:rPr>
        <w:t xml:space="preserve"> C, Khalil PB. Severe asthma moving from phenotype to endotype classification with updates on treatment. </w:t>
      </w:r>
      <w:r w:rsidRPr="0019718A">
        <w:rPr>
          <w:rFonts w:ascii="Arial" w:hAnsi="Arial" w:cs="Arial"/>
          <w:i/>
          <w:iCs/>
          <w:sz w:val="20"/>
          <w:szCs w:val="20"/>
          <w:lang w:val="en-ID"/>
        </w:rPr>
        <w:t xml:space="preserve">J </w:t>
      </w:r>
      <w:proofErr w:type="spellStart"/>
      <w:r w:rsidRPr="0019718A">
        <w:rPr>
          <w:rFonts w:ascii="Arial" w:hAnsi="Arial" w:cs="Arial"/>
          <w:i/>
          <w:iCs/>
          <w:sz w:val="20"/>
          <w:szCs w:val="20"/>
          <w:lang w:val="en-ID"/>
        </w:rPr>
        <w:t>nurs</w:t>
      </w:r>
      <w:proofErr w:type="spellEnd"/>
      <w:r w:rsidRPr="0019718A">
        <w:rPr>
          <w:rFonts w:ascii="Arial" w:hAnsi="Arial" w:cs="Arial"/>
          <w:i/>
          <w:iCs/>
          <w:sz w:val="20"/>
          <w:szCs w:val="20"/>
          <w:lang w:val="en-ID"/>
        </w:rPr>
        <w:t xml:space="preserve"> care. </w:t>
      </w:r>
      <w:r w:rsidRPr="0019718A">
        <w:rPr>
          <w:rFonts w:ascii="Arial" w:hAnsi="Arial" w:cs="Arial"/>
          <w:sz w:val="20"/>
          <w:szCs w:val="20"/>
          <w:lang w:val="en-ID"/>
        </w:rPr>
        <w:t>2016</w:t>
      </w:r>
      <w:r w:rsidRPr="0019718A">
        <w:rPr>
          <w:rFonts w:ascii="Arial" w:hAnsi="Arial" w:cs="Arial"/>
          <w:sz w:val="20"/>
          <w:szCs w:val="20"/>
        </w:rPr>
        <w:t>; 12: 66‒71.</w:t>
      </w:r>
    </w:p>
    <w:p w14:paraId="3F14ED47"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Agache I, </w:t>
      </w:r>
      <w:proofErr w:type="spellStart"/>
      <w:r w:rsidRPr="0019718A">
        <w:rPr>
          <w:rFonts w:ascii="Arial" w:hAnsi="Arial" w:cs="Arial"/>
          <w:sz w:val="20"/>
          <w:szCs w:val="20"/>
          <w:lang w:val="en-ID"/>
        </w:rPr>
        <w:t>Akdis</w:t>
      </w:r>
      <w:proofErr w:type="spellEnd"/>
      <w:r w:rsidRPr="0019718A">
        <w:rPr>
          <w:rFonts w:ascii="Arial" w:hAnsi="Arial" w:cs="Arial"/>
          <w:sz w:val="20"/>
          <w:szCs w:val="20"/>
          <w:lang w:val="en-ID"/>
        </w:rPr>
        <w:t xml:space="preserve"> CA. EAACI biologicals guidelines-</w:t>
      </w:r>
      <w:proofErr w:type="spellStart"/>
      <w:r w:rsidRPr="0019718A">
        <w:rPr>
          <w:rFonts w:ascii="Arial" w:hAnsi="Arial" w:cs="Arial"/>
          <w:sz w:val="20"/>
          <w:szCs w:val="20"/>
          <w:lang w:val="en-ID"/>
        </w:rPr>
        <w:t>recomemndations</w:t>
      </w:r>
      <w:proofErr w:type="spellEnd"/>
      <w:r w:rsidRPr="0019718A">
        <w:rPr>
          <w:rFonts w:ascii="Arial" w:hAnsi="Arial" w:cs="Arial"/>
          <w:sz w:val="20"/>
          <w:szCs w:val="20"/>
          <w:lang w:val="en-ID"/>
        </w:rPr>
        <w:t xml:space="preserve"> for severe asthma. </w:t>
      </w:r>
      <w:r w:rsidRPr="0019718A">
        <w:rPr>
          <w:rFonts w:ascii="Arial" w:hAnsi="Arial" w:cs="Arial"/>
          <w:i/>
          <w:iCs/>
          <w:sz w:val="20"/>
          <w:szCs w:val="20"/>
          <w:lang w:val="en-ID"/>
        </w:rPr>
        <w:t xml:space="preserve">Wiley allergy. </w:t>
      </w:r>
      <w:r w:rsidRPr="0019718A">
        <w:rPr>
          <w:rFonts w:ascii="Arial" w:hAnsi="Arial" w:cs="Arial"/>
          <w:sz w:val="20"/>
          <w:szCs w:val="20"/>
          <w:lang w:val="en-ID"/>
        </w:rPr>
        <w:t>2021; 76: 14-44.</w:t>
      </w:r>
    </w:p>
    <w:p w14:paraId="20DF83AD" w14:textId="77777777" w:rsidR="0019718A" w:rsidRPr="0019718A" w:rsidRDefault="0019718A" w:rsidP="0019718A">
      <w:pPr>
        <w:pStyle w:val="ListParagraph"/>
        <w:numPr>
          <w:ilvl w:val="0"/>
          <w:numId w:val="5"/>
        </w:numPr>
        <w:spacing w:line="276" w:lineRule="auto"/>
        <w:ind w:left="450" w:right="-1"/>
        <w:rPr>
          <w:rFonts w:ascii="Arial" w:hAnsi="Arial" w:cs="Arial"/>
          <w:sz w:val="20"/>
          <w:szCs w:val="20"/>
          <w:lang w:val="en-US"/>
        </w:rPr>
      </w:pPr>
      <w:proofErr w:type="spellStart"/>
      <w:r w:rsidRPr="0019718A">
        <w:rPr>
          <w:rFonts w:ascii="Arial" w:hAnsi="Arial" w:cs="Arial"/>
          <w:sz w:val="20"/>
          <w:szCs w:val="20"/>
        </w:rPr>
        <w:t>Gibson</w:t>
      </w:r>
      <w:proofErr w:type="spellEnd"/>
      <w:r w:rsidRPr="0019718A">
        <w:rPr>
          <w:rFonts w:ascii="Arial" w:hAnsi="Arial" w:cs="Arial"/>
          <w:sz w:val="20"/>
          <w:szCs w:val="20"/>
        </w:rPr>
        <w:t xml:space="preserve"> PG, </w:t>
      </w:r>
      <w:proofErr w:type="spellStart"/>
      <w:r w:rsidRPr="0019718A">
        <w:rPr>
          <w:rFonts w:ascii="Arial" w:hAnsi="Arial" w:cs="Arial"/>
          <w:sz w:val="20"/>
          <w:szCs w:val="20"/>
        </w:rPr>
        <w:t>Prazma</w:t>
      </w:r>
      <w:proofErr w:type="spellEnd"/>
      <w:r w:rsidRPr="0019718A">
        <w:rPr>
          <w:rFonts w:ascii="Arial" w:hAnsi="Arial" w:cs="Arial"/>
          <w:sz w:val="20"/>
          <w:szCs w:val="20"/>
        </w:rPr>
        <w:t xml:space="preserve"> CM, </w:t>
      </w:r>
      <w:proofErr w:type="spellStart"/>
      <w:r w:rsidRPr="0019718A">
        <w:rPr>
          <w:rFonts w:ascii="Arial" w:hAnsi="Arial" w:cs="Arial"/>
          <w:sz w:val="20"/>
          <w:szCs w:val="20"/>
        </w:rPr>
        <w:t>Chupp</w:t>
      </w:r>
      <w:proofErr w:type="spellEnd"/>
      <w:r w:rsidRPr="0019718A">
        <w:rPr>
          <w:rFonts w:ascii="Arial" w:hAnsi="Arial" w:cs="Arial"/>
          <w:sz w:val="20"/>
          <w:szCs w:val="20"/>
        </w:rPr>
        <w:t xml:space="preserve"> GL, </w:t>
      </w:r>
      <w:proofErr w:type="spellStart"/>
      <w:r w:rsidRPr="0019718A">
        <w:rPr>
          <w:rFonts w:ascii="Arial" w:hAnsi="Arial" w:cs="Arial"/>
          <w:sz w:val="20"/>
          <w:szCs w:val="20"/>
        </w:rPr>
        <w:t>Bradford</w:t>
      </w:r>
      <w:proofErr w:type="spellEnd"/>
      <w:r w:rsidRPr="0019718A">
        <w:rPr>
          <w:rFonts w:ascii="Arial" w:hAnsi="Arial" w:cs="Arial"/>
          <w:sz w:val="20"/>
          <w:szCs w:val="20"/>
        </w:rPr>
        <w:t xml:space="preserve"> ES, </w:t>
      </w:r>
      <w:proofErr w:type="spellStart"/>
      <w:r w:rsidRPr="0019718A">
        <w:rPr>
          <w:rFonts w:ascii="Arial" w:hAnsi="Arial" w:cs="Arial"/>
          <w:sz w:val="20"/>
          <w:szCs w:val="20"/>
        </w:rPr>
        <w:t>Forshag</w:t>
      </w:r>
      <w:proofErr w:type="spellEnd"/>
      <w:r w:rsidRPr="0019718A">
        <w:rPr>
          <w:rFonts w:ascii="Arial" w:hAnsi="Arial" w:cs="Arial"/>
          <w:sz w:val="20"/>
          <w:szCs w:val="20"/>
        </w:rPr>
        <w:t xml:space="preserve"> M, </w:t>
      </w:r>
      <w:proofErr w:type="spellStart"/>
      <w:r w:rsidRPr="0019718A">
        <w:rPr>
          <w:rFonts w:ascii="Arial" w:hAnsi="Arial" w:cs="Arial"/>
          <w:sz w:val="20"/>
          <w:szCs w:val="20"/>
        </w:rPr>
        <w:t>Mallett</w:t>
      </w:r>
      <w:proofErr w:type="spellEnd"/>
      <w:r w:rsidRPr="0019718A">
        <w:rPr>
          <w:rFonts w:ascii="Arial" w:hAnsi="Arial" w:cs="Arial"/>
          <w:sz w:val="20"/>
          <w:szCs w:val="20"/>
        </w:rPr>
        <w:t xml:space="preserve"> SA, </w:t>
      </w:r>
      <w:proofErr w:type="spellStart"/>
      <w:r w:rsidRPr="0019718A">
        <w:rPr>
          <w:rFonts w:ascii="Arial" w:hAnsi="Arial" w:cs="Arial"/>
          <w:sz w:val="20"/>
          <w:szCs w:val="20"/>
        </w:rPr>
        <w:t>et</w:t>
      </w:r>
      <w:proofErr w:type="spellEnd"/>
      <w:r w:rsidRPr="0019718A">
        <w:rPr>
          <w:rFonts w:ascii="Arial" w:hAnsi="Arial" w:cs="Arial"/>
          <w:sz w:val="20"/>
          <w:szCs w:val="20"/>
        </w:rPr>
        <w:t xml:space="preserve"> </w:t>
      </w:r>
      <w:proofErr w:type="spellStart"/>
      <w:r w:rsidRPr="0019718A">
        <w:rPr>
          <w:rFonts w:ascii="Arial" w:hAnsi="Arial" w:cs="Arial"/>
          <w:sz w:val="20"/>
          <w:szCs w:val="20"/>
        </w:rPr>
        <w:t>all</w:t>
      </w:r>
      <w:proofErr w:type="spellEnd"/>
      <w:r w:rsidRPr="0019718A">
        <w:rPr>
          <w:rFonts w:ascii="Arial" w:hAnsi="Arial" w:cs="Arial"/>
          <w:sz w:val="20"/>
          <w:szCs w:val="20"/>
        </w:rPr>
        <w:t xml:space="preserve">. </w:t>
      </w:r>
      <w:proofErr w:type="spellStart"/>
      <w:r w:rsidRPr="0019718A">
        <w:rPr>
          <w:rFonts w:ascii="Arial" w:hAnsi="Arial" w:cs="Arial"/>
          <w:sz w:val="20"/>
          <w:szCs w:val="20"/>
        </w:rPr>
        <w:t>Mepolizumab</w:t>
      </w:r>
      <w:proofErr w:type="spellEnd"/>
      <w:r w:rsidRPr="0019718A">
        <w:rPr>
          <w:rFonts w:ascii="Arial" w:hAnsi="Arial" w:cs="Arial"/>
          <w:sz w:val="20"/>
          <w:szCs w:val="20"/>
        </w:rPr>
        <w:t xml:space="preserve"> </w:t>
      </w:r>
      <w:proofErr w:type="spellStart"/>
      <w:r w:rsidRPr="0019718A">
        <w:rPr>
          <w:rFonts w:ascii="Arial" w:hAnsi="Arial" w:cs="Arial"/>
          <w:sz w:val="20"/>
          <w:szCs w:val="20"/>
        </w:rPr>
        <w:t>improves</w:t>
      </w:r>
      <w:proofErr w:type="spellEnd"/>
      <w:r w:rsidRPr="0019718A">
        <w:rPr>
          <w:rFonts w:ascii="Arial" w:hAnsi="Arial" w:cs="Arial"/>
          <w:sz w:val="20"/>
          <w:szCs w:val="20"/>
        </w:rPr>
        <w:t xml:space="preserve"> </w:t>
      </w:r>
      <w:proofErr w:type="spellStart"/>
      <w:r w:rsidRPr="0019718A">
        <w:rPr>
          <w:rFonts w:ascii="Arial" w:hAnsi="Arial" w:cs="Arial"/>
          <w:sz w:val="20"/>
          <w:szCs w:val="20"/>
        </w:rPr>
        <w:t>clinical</w:t>
      </w:r>
      <w:proofErr w:type="spellEnd"/>
      <w:r w:rsidRPr="0019718A">
        <w:rPr>
          <w:rFonts w:ascii="Arial" w:hAnsi="Arial" w:cs="Arial"/>
          <w:sz w:val="20"/>
          <w:szCs w:val="20"/>
        </w:rPr>
        <w:t xml:space="preserve"> </w:t>
      </w:r>
      <w:proofErr w:type="spellStart"/>
      <w:r w:rsidRPr="0019718A">
        <w:rPr>
          <w:rFonts w:ascii="Arial" w:hAnsi="Arial" w:cs="Arial"/>
          <w:sz w:val="20"/>
          <w:szCs w:val="20"/>
        </w:rPr>
        <w:t>outcomes</w:t>
      </w:r>
      <w:proofErr w:type="spellEnd"/>
      <w:r w:rsidRPr="0019718A">
        <w:rPr>
          <w:rFonts w:ascii="Arial" w:hAnsi="Arial" w:cs="Arial"/>
          <w:sz w:val="20"/>
          <w:szCs w:val="20"/>
        </w:rPr>
        <w:t xml:space="preserve"> in </w:t>
      </w:r>
      <w:proofErr w:type="spellStart"/>
      <w:r w:rsidRPr="0019718A">
        <w:rPr>
          <w:rFonts w:ascii="Arial" w:hAnsi="Arial" w:cs="Arial"/>
          <w:sz w:val="20"/>
          <w:szCs w:val="20"/>
        </w:rPr>
        <w:t>patients</w:t>
      </w:r>
      <w:proofErr w:type="spellEnd"/>
      <w:r w:rsidRPr="0019718A">
        <w:rPr>
          <w:rFonts w:ascii="Arial" w:hAnsi="Arial" w:cs="Arial"/>
          <w:sz w:val="20"/>
          <w:szCs w:val="20"/>
        </w:rPr>
        <w:t xml:space="preserve"> </w:t>
      </w:r>
      <w:proofErr w:type="spellStart"/>
      <w:r w:rsidRPr="0019718A">
        <w:rPr>
          <w:rFonts w:ascii="Arial" w:hAnsi="Arial" w:cs="Arial"/>
          <w:sz w:val="20"/>
          <w:szCs w:val="20"/>
        </w:rPr>
        <w:t>with</w:t>
      </w:r>
      <w:proofErr w:type="spellEnd"/>
      <w:r w:rsidRPr="0019718A">
        <w:rPr>
          <w:rFonts w:ascii="Arial" w:hAnsi="Arial" w:cs="Arial"/>
          <w:sz w:val="20"/>
          <w:szCs w:val="20"/>
        </w:rPr>
        <w:t xml:space="preserve"> </w:t>
      </w:r>
      <w:proofErr w:type="spellStart"/>
      <w:r w:rsidRPr="0019718A">
        <w:rPr>
          <w:rFonts w:ascii="Arial" w:hAnsi="Arial" w:cs="Arial"/>
          <w:sz w:val="20"/>
          <w:szCs w:val="20"/>
        </w:rPr>
        <w:t>severe</w:t>
      </w:r>
      <w:proofErr w:type="spellEnd"/>
      <w:r w:rsidRPr="0019718A">
        <w:rPr>
          <w:rFonts w:ascii="Arial" w:hAnsi="Arial" w:cs="Arial"/>
          <w:sz w:val="20"/>
          <w:szCs w:val="20"/>
        </w:rPr>
        <w:t xml:space="preserve"> </w:t>
      </w:r>
      <w:proofErr w:type="spellStart"/>
      <w:r w:rsidRPr="0019718A">
        <w:rPr>
          <w:rFonts w:ascii="Arial" w:hAnsi="Arial" w:cs="Arial"/>
          <w:sz w:val="20"/>
          <w:szCs w:val="20"/>
        </w:rPr>
        <w:t>asthma</w:t>
      </w:r>
      <w:proofErr w:type="spellEnd"/>
      <w:r w:rsidRPr="0019718A">
        <w:rPr>
          <w:rFonts w:ascii="Arial" w:hAnsi="Arial" w:cs="Arial"/>
          <w:sz w:val="20"/>
          <w:szCs w:val="20"/>
        </w:rPr>
        <w:t xml:space="preserve"> </w:t>
      </w:r>
      <w:proofErr w:type="spellStart"/>
      <w:r w:rsidRPr="0019718A">
        <w:rPr>
          <w:rFonts w:ascii="Arial" w:hAnsi="Arial" w:cs="Arial"/>
          <w:sz w:val="20"/>
          <w:szCs w:val="20"/>
        </w:rPr>
        <w:t>and</w:t>
      </w:r>
      <w:proofErr w:type="spellEnd"/>
      <w:r w:rsidRPr="0019718A">
        <w:rPr>
          <w:rFonts w:ascii="Arial" w:hAnsi="Arial" w:cs="Arial"/>
          <w:sz w:val="20"/>
          <w:szCs w:val="20"/>
        </w:rPr>
        <w:t xml:space="preserve"> </w:t>
      </w:r>
      <w:proofErr w:type="spellStart"/>
      <w:r w:rsidRPr="0019718A">
        <w:rPr>
          <w:rFonts w:ascii="Arial" w:hAnsi="Arial" w:cs="Arial"/>
          <w:sz w:val="20"/>
          <w:szCs w:val="20"/>
        </w:rPr>
        <w:t>comorbid</w:t>
      </w:r>
      <w:proofErr w:type="spellEnd"/>
      <w:r w:rsidRPr="0019718A">
        <w:rPr>
          <w:rFonts w:ascii="Arial" w:hAnsi="Arial" w:cs="Arial"/>
          <w:sz w:val="20"/>
          <w:szCs w:val="20"/>
        </w:rPr>
        <w:t xml:space="preserve"> </w:t>
      </w:r>
      <w:proofErr w:type="spellStart"/>
      <w:r w:rsidRPr="0019718A">
        <w:rPr>
          <w:rFonts w:ascii="Arial" w:hAnsi="Arial" w:cs="Arial"/>
          <w:sz w:val="20"/>
          <w:szCs w:val="20"/>
        </w:rPr>
        <w:t>conditions</w:t>
      </w:r>
      <w:proofErr w:type="spellEnd"/>
      <w:r w:rsidRPr="0019718A">
        <w:rPr>
          <w:rFonts w:ascii="Arial" w:hAnsi="Arial" w:cs="Arial"/>
          <w:sz w:val="20"/>
          <w:szCs w:val="20"/>
        </w:rPr>
        <w:t xml:space="preserve">. </w:t>
      </w:r>
      <w:proofErr w:type="spellStart"/>
      <w:r w:rsidRPr="0019718A">
        <w:rPr>
          <w:rFonts w:ascii="Arial" w:hAnsi="Arial" w:cs="Arial"/>
          <w:i/>
          <w:iCs/>
          <w:sz w:val="20"/>
          <w:szCs w:val="20"/>
        </w:rPr>
        <w:t>Respir</w:t>
      </w:r>
      <w:proofErr w:type="spellEnd"/>
      <w:r w:rsidRPr="0019718A">
        <w:rPr>
          <w:rFonts w:ascii="Arial" w:hAnsi="Arial" w:cs="Arial"/>
          <w:i/>
          <w:iCs/>
          <w:sz w:val="20"/>
          <w:szCs w:val="20"/>
        </w:rPr>
        <w:t xml:space="preserve"> </w:t>
      </w:r>
      <w:proofErr w:type="spellStart"/>
      <w:r w:rsidRPr="0019718A">
        <w:rPr>
          <w:rFonts w:ascii="Arial" w:hAnsi="Arial" w:cs="Arial"/>
          <w:i/>
          <w:iCs/>
          <w:sz w:val="20"/>
          <w:szCs w:val="20"/>
        </w:rPr>
        <w:t>Res</w:t>
      </w:r>
      <w:proofErr w:type="spellEnd"/>
      <w:r w:rsidRPr="0019718A">
        <w:rPr>
          <w:rFonts w:ascii="Arial" w:hAnsi="Arial" w:cs="Arial"/>
          <w:i/>
          <w:iCs/>
          <w:sz w:val="20"/>
          <w:szCs w:val="20"/>
        </w:rPr>
        <w:t>.</w:t>
      </w:r>
      <w:r w:rsidRPr="0019718A">
        <w:rPr>
          <w:rFonts w:ascii="Arial" w:hAnsi="Arial" w:cs="Arial"/>
          <w:sz w:val="20"/>
          <w:szCs w:val="20"/>
        </w:rPr>
        <w:t xml:space="preserve"> 2021; 22: 171-9.</w:t>
      </w:r>
    </w:p>
    <w:p w14:paraId="39CB573E"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Shabbir S, Pouliquen IJ, Bentley JH. The pharmacokinetics and relative bioavailability of mepolizumab 100 mg liquid formulation administered subcutaneously to </w:t>
      </w:r>
      <w:proofErr w:type="spellStart"/>
      <w:r w:rsidRPr="0019718A">
        <w:rPr>
          <w:rFonts w:ascii="Arial" w:hAnsi="Arial" w:cs="Arial"/>
          <w:sz w:val="20"/>
          <w:szCs w:val="20"/>
          <w:lang w:val="en-ID"/>
        </w:rPr>
        <w:t>healtyy</w:t>
      </w:r>
      <w:proofErr w:type="spellEnd"/>
      <w:r w:rsidRPr="0019718A">
        <w:rPr>
          <w:rFonts w:ascii="Arial" w:hAnsi="Arial" w:cs="Arial"/>
          <w:sz w:val="20"/>
          <w:szCs w:val="20"/>
          <w:lang w:val="en-ID"/>
        </w:rPr>
        <w:t xml:space="preserve"> participants. </w:t>
      </w:r>
      <w:r w:rsidRPr="0019718A">
        <w:rPr>
          <w:rFonts w:ascii="Arial" w:hAnsi="Arial" w:cs="Arial"/>
          <w:i/>
          <w:iCs/>
          <w:sz w:val="20"/>
          <w:szCs w:val="20"/>
          <w:lang w:val="en-ID"/>
        </w:rPr>
        <w:t xml:space="preserve">Clinical pharm in drug development. </w:t>
      </w:r>
      <w:r w:rsidRPr="0019718A">
        <w:rPr>
          <w:rFonts w:ascii="Arial" w:hAnsi="Arial" w:cs="Arial"/>
          <w:sz w:val="20"/>
          <w:szCs w:val="20"/>
          <w:lang w:val="en-ID"/>
        </w:rPr>
        <w:t>2020</w:t>
      </w:r>
      <w:r w:rsidRPr="0019718A">
        <w:rPr>
          <w:rFonts w:ascii="Arial" w:hAnsi="Arial" w:cs="Arial"/>
          <w:sz w:val="20"/>
          <w:szCs w:val="20"/>
        </w:rPr>
        <w:t>; 64: 31‒9.</w:t>
      </w:r>
    </w:p>
    <w:p w14:paraId="48DEC5BB"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proofErr w:type="spellStart"/>
      <w:r w:rsidRPr="0019718A">
        <w:rPr>
          <w:rFonts w:ascii="Arial" w:hAnsi="Arial" w:cs="Arial"/>
          <w:sz w:val="20"/>
          <w:szCs w:val="20"/>
          <w:lang w:val="en-ID"/>
        </w:rPr>
        <w:t>Morjaria</w:t>
      </w:r>
      <w:proofErr w:type="spellEnd"/>
      <w:r w:rsidRPr="0019718A">
        <w:rPr>
          <w:rFonts w:ascii="Arial" w:hAnsi="Arial" w:cs="Arial"/>
          <w:sz w:val="20"/>
          <w:szCs w:val="20"/>
          <w:lang w:val="en-ID"/>
        </w:rPr>
        <w:t xml:space="preserve"> JB, Emma R, </w:t>
      </w:r>
      <w:proofErr w:type="spellStart"/>
      <w:r w:rsidRPr="0019718A">
        <w:rPr>
          <w:rFonts w:ascii="Arial" w:hAnsi="Arial" w:cs="Arial"/>
          <w:sz w:val="20"/>
          <w:szCs w:val="20"/>
          <w:lang w:val="en-ID"/>
        </w:rPr>
        <w:t>Fuochi</w:t>
      </w:r>
      <w:proofErr w:type="spellEnd"/>
      <w:r w:rsidRPr="0019718A">
        <w:rPr>
          <w:rFonts w:ascii="Arial" w:hAnsi="Arial" w:cs="Arial"/>
          <w:sz w:val="20"/>
          <w:szCs w:val="20"/>
          <w:lang w:val="en-ID"/>
        </w:rPr>
        <w:t xml:space="preserve"> V. An evaluation of mepolizumab for the treatment of severe asthma. </w:t>
      </w:r>
      <w:proofErr w:type="spellStart"/>
      <w:r w:rsidRPr="0019718A">
        <w:rPr>
          <w:rFonts w:ascii="Arial" w:hAnsi="Arial" w:cs="Arial"/>
          <w:i/>
          <w:iCs/>
          <w:sz w:val="20"/>
          <w:szCs w:val="20"/>
          <w:lang w:val="en-ID"/>
        </w:rPr>
        <w:t>Jl</w:t>
      </w:r>
      <w:proofErr w:type="spellEnd"/>
      <w:r w:rsidRPr="0019718A">
        <w:rPr>
          <w:rFonts w:ascii="Arial" w:hAnsi="Arial" w:cs="Arial"/>
          <w:i/>
          <w:iCs/>
          <w:sz w:val="20"/>
          <w:szCs w:val="20"/>
          <w:lang w:val="en-ID"/>
        </w:rPr>
        <w:t xml:space="preserve"> expert opinion on biological therapy.</w:t>
      </w:r>
      <w:r w:rsidRPr="0019718A">
        <w:rPr>
          <w:rFonts w:ascii="Arial" w:hAnsi="Arial" w:cs="Arial"/>
          <w:sz w:val="20"/>
          <w:szCs w:val="20"/>
          <w:lang w:val="en-ID"/>
        </w:rPr>
        <w:t xml:space="preserve"> 2019</w:t>
      </w:r>
      <w:r w:rsidRPr="0019718A">
        <w:rPr>
          <w:rFonts w:ascii="Arial" w:hAnsi="Arial" w:cs="Arial"/>
          <w:sz w:val="20"/>
          <w:szCs w:val="20"/>
        </w:rPr>
        <w:t>; 7: 16‒29.</w:t>
      </w:r>
    </w:p>
    <w:p w14:paraId="25547977" w14:textId="77777777" w:rsidR="0019718A" w:rsidRPr="0019718A" w:rsidRDefault="0019718A" w:rsidP="0019718A">
      <w:pPr>
        <w:pStyle w:val="BodyText"/>
        <w:numPr>
          <w:ilvl w:val="0"/>
          <w:numId w:val="5"/>
        </w:numPr>
        <w:spacing w:line="276" w:lineRule="auto"/>
        <w:ind w:left="450" w:right="-1"/>
        <w:jc w:val="both"/>
        <w:rPr>
          <w:rFonts w:ascii="Arial" w:hAnsi="Arial" w:cs="Arial"/>
          <w:i/>
          <w:iCs/>
          <w:sz w:val="20"/>
          <w:szCs w:val="20"/>
          <w:lang w:val="en-ID"/>
        </w:rPr>
      </w:pPr>
      <w:proofErr w:type="spellStart"/>
      <w:r w:rsidRPr="0019718A">
        <w:rPr>
          <w:rFonts w:ascii="Arial" w:hAnsi="Arial" w:cs="Arial"/>
          <w:sz w:val="20"/>
          <w:szCs w:val="20"/>
          <w:lang w:val="en-ID"/>
        </w:rPr>
        <w:t>Jin</w:t>
      </w:r>
      <w:proofErr w:type="spellEnd"/>
      <w:r w:rsidRPr="0019718A">
        <w:rPr>
          <w:rFonts w:ascii="Arial" w:hAnsi="Arial" w:cs="Arial"/>
          <w:sz w:val="20"/>
          <w:szCs w:val="20"/>
          <w:lang w:val="en-ID"/>
        </w:rPr>
        <w:t xml:space="preserve"> HJ. Biological treatments for severe asthma. </w:t>
      </w:r>
      <w:proofErr w:type="spellStart"/>
      <w:r w:rsidRPr="0019718A">
        <w:rPr>
          <w:rFonts w:ascii="Arial" w:hAnsi="Arial" w:cs="Arial"/>
          <w:i/>
          <w:iCs/>
          <w:sz w:val="20"/>
          <w:szCs w:val="20"/>
          <w:lang w:val="en-ID"/>
        </w:rPr>
        <w:t>Yeungnam</w:t>
      </w:r>
      <w:proofErr w:type="spellEnd"/>
      <w:r w:rsidRPr="0019718A">
        <w:rPr>
          <w:rFonts w:ascii="Arial" w:hAnsi="Arial" w:cs="Arial"/>
          <w:i/>
          <w:iCs/>
          <w:sz w:val="20"/>
          <w:szCs w:val="20"/>
          <w:lang w:val="en-ID"/>
        </w:rPr>
        <w:t xml:space="preserve"> </w:t>
      </w:r>
      <w:proofErr w:type="spellStart"/>
      <w:r w:rsidRPr="0019718A">
        <w:rPr>
          <w:rFonts w:ascii="Arial" w:hAnsi="Arial" w:cs="Arial"/>
          <w:i/>
          <w:iCs/>
          <w:sz w:val="20"/>
          <w:szCs w:val="20"/>
          <w:lang w:val="en-ID"/>
        </w:rPr>
        <w:t>univ</w:t>
      </w:r>
      <w:proofErr w:type="spellEnd"/>
      <w:r w:rsidRPr="0019718A">
        <w:rPr>
          <w:rFonts w:ascii="Arial" w:hAnsi="Arial" w:cs="Arial"/>
          <w:i/>
          <w:iCs/>
          <w:sz w:val="20"/>
          <w:szCs w:val="20"/>
          <w:lang w:val="en-ID"/>
        </w:rPr>
        <w:t xml:space="preserve"> J med</w:t>
      </w:r>
      <w:r w:rsidRPr="0019718A">
        <w:rPr>
          <w:rFonts w:ascii="Arial" w:hAnsi="Arial" w:cs="Arial"/>
          <w:sz w:val="20"/>
          <w:szCs w:val="20"/>
          <w:lang w:val="en-ID"/>
        </w:rPr>
        <w:t>.2020; 37 (4): 262-8.</w:t>
      </w:r>
    </w:p>
    <w:p w14:paraId="34C49E9A"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rPr>
        <w:t xml:space="preserve">Pelaia C, </w:t>
      </w:r>
      <w:proofErr w:type="spellStart"/>
      <w:r w:rsidRPr="0019718A">
        <w:rPr>
          <w:rFonts w:ascii="Arial" w:hAnsi="Arial" w:cs="Arial"/>
          <w:sz w:val="20"/>
          <w:szCs w:val="20"/>
        </w:rPr>
        <w:t>vatrella</w:t>
      </w:r>
      <w:proofErr w:type="spellEnd"/>
      <w:r w:rsidRPr="0019718A">
        <w:rPr>
          <w:rFonts w:ascii="Arial" w:hAnsi="Arial" w:cs="Arial"/>
          <w:sz w:val="20"/>
          <w:szCs w:val="20"/>
        </w:rPr>
        <w:t xml:space="preserve"> A, </w:t>
      </w:r>
      <w:proofErr w:type="spellStart"/>
      <w:r w:rsidRPr="0019718A">
        <w:rPr>
          <w:rFonts w:ascii="Arial" w:hAnsi="Arial" w:cs="Arial"/>
          <w:sz w:val="20"/>
          <w:szCs w:val="20"/>
        </w:rPr>
        <w:t>Busceti</w:t>
      </w:r>
      <w:proofErr w:type="spellEnd"/>
      <w:r w:rsidRPr="0019718A">
        <w:rPr>
          <w:rFonts w:ascii="Arial" w:hAnsi="Arial" w:cs="Arial"/>
          <w:sz w:val="20"/>
          <w:szCs w:val="20"/>
        </w:rPr>
        <w:t xml:space="preserve"> MT. Severe eosinophilic asthma from pathogenic role of interleukin-5 to the therapeutic action of mepolizumab. </w:t>
      </w:r>
      <w:r w:rsidRPr="0019718A">
        <w:rPr>
          <w:rFonts w:ascii="Arial" w:hAnsi="Arial" w:cs="Arial"/>
          <w:i/>
          <w:iCs/>
          <w:sz w:val="20"/>
          <w:szCs w:val="20"/>
        </w:rPr>
        <w:t>Drug design, development and therapy</w:t>
      </w:r>
      <w:r w:rsidRPr="0019718A">
        <w:rPr>
          <w:rFonts w:ascii="Arial" w:hAnsi="Arial" w:cs="Arial"/>
          <w:sz w:val="20"/>
          <w:szCs w:val="20"/>
        </w:rPr>
        <w:t>. 2017; 11: 3137-44.</w:t>
      </w:r>
    </w:p>
    <w:p w14:paraId="760541A6"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proofErr w:type="spellStart"/>
      <w:r w:rsidRPr="0019718A">
        <w:rPr>
          <w:rFonts w:ascii="Arial" w:hAnsi="Arial" w:cs="Arial"/>
          <w:sz w:val="20"/>
          <w:szCs w:val="20"/>
          <w:lang w:val="en-ID"/>
        </w:rPr>
        <w:t>Nakagome</w:t>
      </w:r>
      <w:proofErr w:type="spellEnd"/>
      <w:r w:rsidRPr="0019718A">
        <w:rPr>
          <w:rFonts w:ascii="Arial" w:hAnsi="Arial" w:cs="Arial"/>
          <w:sz w:val="20"/>
          <w:szCs w:val="20"/>
          <w:lang w:val="en-ID"/>
        </w:rPr>
        <w:t xml:space="preserve"> K, Nagata M. involvement and possible role of eosinophils in asthma exacerbation. </w:t>
      </w:r>
      <w:r w:rsidRPr="0019718A">
        <w:rPr>
          <w:rFonts w:ascii="Arial" w:hAnsi="Arial" w:cs="Arial"/>
          <w:i/>
          <w:iCs/>
          <w:sz w:val="20"/>
          <w:szCs w:val="20"/>
          <w:lang w:val="en-ID"/>
        </w:rPr>
        <w:t>Frontiers in immunology</w:t>
      </w:r>
      <w:r w:rsidRPr="0019718A">
        <w:rPr>
          <w:rFonts w:ascii="Arial" w:hAnsi="Arial" w:cs="Arial"/>
          <w:sz w:val="20"/>
          <w:szCs w:val="20"/>
          <w:lang w:val="en-ID"/>
        </w:rPr>
        <w:t>. 2018</w:t>
      </w:r>
      <w:r w:rsidRPr="0019718A">
        <w:rPr>
          <w:rFonts w:ascii="Arial" w:hAnsi="Arial" w:cs="Arial"/>
          <w:sz w:val="20"/>
          <w:szCs w:val="20"/>
        </w:rPr>
        <w:t>; 8: 144‒52.</w:t>
      </w:r>
    </w:p>
    <w:p w14:paraId="42B476FD"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Wenzel SE. Severe adult asthma integrating clinical features, biology and therapeutics to improve outcomes. </w:t>
      </w:r>
      <w:r w:rsidRPr="0019718A">
        <w:rPr>
          <w:rFonts w:ascii="Arial" w:hAnsi="Arial" w:cs="Arial"/>
          <w:i/>
          <w:iCs/>
          <w:sz w:val="20"/>
          <w:szCs w:val="20"/>
          <w:lang w:val="en-ID"/>
        </w:rPr>
        <w:t>Concise clinical review.</w:t>
      </w:r>
      <w:r w:rsidRPr="0019718A">
        <w:rPr>
          <w:rFonts w:ascii="Arial" w:hAnsi="Arial" w:cs="Arial"/>
          <w:sz w:val="20"/>
          <w:szCs w:val="20"/>
          <w:lang w:val="en-ID"/>
        </w:rPr>
        <w:t xml:space="preserve"> 2020</w:t>
      </w:r>
      <w:r w:rsidRPr="0019718A">
        <w:rPr>
          <w:rFonts w:ascii="Arial" w:hAnsi="Arial" w:cs="Arial"/>
          <w:sz w:val="20"/>
          <w:szCs w:val="20"/>
        </w:rPr>
        <w:t>; 27: 236‒49.</w:t>
      </w:r>
    </w:p>
    <w:p w14:paraId="2045A127" w14:textId="77777777" w:rsidR="0019718A" w:rsidRPr="0019718A" w:rsidRDefault="0019718A" w:rsidP="0019718A">
      <w:pPr>
        <w:pStyle w:val="BodyText"/>
        <w:numPr>
          <w:ilvl w:val="0"/>
          <w:numId w:val="5"/>
        </w:numPr>
        <w:spacing w:line="276" w:lineRule="auto"/>
        <w:ind w:left="450" w:right="-1"/>
        <w:jc w:val="both"/>
        <w:rPr>
          <w:rFonts w:ascii="Arial" w:hAnsi="Arial" w:cs="Arial"/>
          <w:i/>
          <w:iCs/>
          <w:sz w:val="20"/>
          <w:szCs w:val="20"/>
          <w:lang w:val="en-ID"/>
        </w:rPr>
      </w:pPr>
      <w:r w:rsidRPr="0019718A">
        <w:rPr>
          <w:rFonts w:ascii="Arial" w:hAnsi="Arial" w:cs="Arial"/>
          <w:sz w:val="20"/>
          <w:szCs w:val="20"/>
          <w:lang w:val="en-ID"/>
        </w:rPr>
        <w:t xml:space="preserve">Magnan A, Bourdin A, Prazma CM. Treatment response with mepolizumab </w:t>
      </w:r>
      <w:proofErr w:type="spellStart"/>
      <w:r w:rsidRPr="0019718A">
        <w:rPr>
          <w:rFonts w:ascii="Arial" w:hAnsi="Arial" w:cs="Arial"/>
          <w:sz w:val="20"/>
          <w:szCs w:val="20"/>
          <w:lang w:val="en-ID"/>
        </w:rPr>
        <w:t>iun</w:t>
      </w:r>
      <w:proofErr w:type="spellEnd"/>
      <w:r w:rsidRPr="0019718A">
        <w:rPr>
          <w:rFonts w:ascii="Arial" w:hAnsi="Arial" w:cs="Arial"/>
          <w:sz w:val="20"/>
          <w:szCs w:val="20"/>
          <w:lang w:val="en-ID"/>
        </w:rPr>
        <w:t xml:space="preserve"> severe eosinophilic asthma patients with previous omalizumab treatment. </w:t>
      </w:r>
      <w:proofErr w:type="spellStart"/>
      <w:r w:rsidRPr="0019718A">
        <w:rPr>
          <w:rFonts w:ascii="Arial" w:hAnsi="Arial" w:cs="Arial"/>
          <w:i/>
          <w:iCs/>
          <w:sz w:val="20"/>
          <w:szCs w:val="20"/>
          <w:lang w:val="en-ID"/>
        </w:rPr>
        <w:t>Eur</w:t>
      </w:r>
      <w:proofErr w:type="spellEnd"/>
      <w:r w:rsidRPr="0019718A">
        <w:rPr>
          <w:rFonts w:ascii="Arial" w:hAnsi="Arial" w:cs="Arial"/>
          <w:i/>
          <w:iCs/>
          <w:sz w:val="20"/>
          <w:szCs w:val="20"/>
          <w:lang w:val="en-ID"/>
        </w:rPr>
        <w:t xml:space="preserve"> j of allergy and clinical immunology.</w:t>
      </w:r>
      <w:r w:rsidRPr="0019718A">
        <w:rPr>
          <w:rFonts w:ascii="Arial" w:hAnsi="Arial" w:cs="Arial"/>
          <w:sz w:val="20"/>
          <w:szCs w:val="20"/>
          <w:lang w:val="en-ID"/>
        </w:rPr>
        <w:t xml:space="preserve"> 2016; 71:1335-44.</w:t>
      </w:r>
    </w:p>
    <w:p w14:paraId="2A441575"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Cavaliere C, Frati F, </w:t>
      </w:r>
      <w:proofErr w:type="spellStart"/>
      <w:r w:rsidRPr="0019718A">
        <w:rPr>
          <w:rFonts w:ascii="Arial" w:hAnsi="Arial" w:cs="Arial"/>
          <w:sz w:val="20"/>
          <w:szCs w:val="20"/>
          <w:lang w:val="en-ID"/>
        </w:rPr>
        <w:t>Ridolo</w:t>
      </w:r>
      <w:proofErr w:type="spellEnd"/>
      <w:r w:rsidRPr="0019718A">
        <w:rPr>
          <w:rFonts w:ascii="Arial" w:hAnsi="Arial" w:cs="Arial"/>
          <w:sz w:val="20"/>
          <w:szCs w:val="20"/>
          <w:lang w:val="en-ID"/>
        </w:rPr>
        <w:t xml:space="preserve"> E. The spectrum of therapeutic activity of mepolizumab. </w:t>
      </w:r>
      <w:r w:rsidRPr="0019718A">
        <w:rPr>
          <w:rFonts w:ascii="Arial" w:hAnsi="Arial" w:cs="Arial"/>
          <w:i/>
          <w:iCs/>
          <w:sz w:val="20"/>
          <w:szCs w:val="20"/>
          <w:lang w:val="en-ID"/>
        </w:rPr>
        <w:t>Expert review of clinical Immunol</w:t>
      </w:r>
      <w:r w:rsidRPr="0019718A">
        <w:rPr>
          <w:rFonts w:ascii="Arial" w:hAnsi="Arial" w:cs="Arial"/>
          <w:sz w:val="20"/>
          <w:szCs w:val="20"/>
          <w:lang w:val="en-ID"/>
        </w:rPr>
        <w:t>. 2019</w:t>
      </w:r>
      <w:r w:rsidRPr="0019718A">
        <w:rPr>
          <w:rFonts w:ascii="Arial" w:hAnsi="Arial" w:cs="Arial"/>
          <w:sz w:val="20"/>
          <w:szCs w:val="20"/>
        </w:rPr>
        <w:t>; 3: 65‒74.</w:t>
      </w:r>
    </w:p>
    <w:p w14:paraId="10F7FD80"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Numata T, Miyagawa H, Kawamoto H. </w:t>
      </w:r>
      <w:r w:rsidRPr="0019718A">
        <w:rPr>
          <w:rFonts w:ascii="Arial" w:hAnsi="Arial" w:cs="Arial"/>
          <w:sz w:val="20"/>
          <w:szCs w:val="20"/>
          <w:lang w:val="en-ID"/>
        </w:rPr>
        <w:lastRenderedPageBreak/>
        <w:t xml:space="preserve">predictors of the enhanced response to mepolizumab treatment for severe eosinophilic asthma. </w:t>
      </w:r>
      <w:proofErr w:type="spellStart"/>
      <w:r w:rsidRPr="0019718A">
        <w:rPr>
          <w:rFonts w:ascii="Arial" w:hAnsi="Arial" w:cs="Arial"/>
          <w:i/>
          <w:iCs/>
          <w:sz w:val="20"/>
          <w:szCs w:val="20"/>
          <w:lang w:val="en-ID"/>
        </w:rPr>
        <w:t>Congent</w:t>
      </w:r>
      <w:proofErr w:type="spellEnd"/>
      <w:r w:rsidRPr="0019718A">
        <w:rPr>
          <w:rFonts w:ascii="Arial" w:hAnsi="Arial" w:cs="Arial"/>
          <w:i/>
          <w:iCs/>
          <w:sz w:val="20"/>
          <w:szCs w:val="20"/>
          <w:lang w:val="en-ID"/>
        </w:rPr>
        <w:t xml:space="preserve"> med.</w:t>
      </w:r>
      <w:r w:rsidRPr="0019718A">
        <w:rPr>
          <w:rFonts w:ascii="Arial" w:hAnsi="Arial" w:cs="Arial"/>
          <w:sz w:val="20"/>
          <w:szCs w:val="20"/>
          <w:lang w:val="en-ID"/>
        </w:rPr>
        <w:t xml:space="preserve"> 2020</w:t>
      </w:r>
      <w:r w:rsidRPr="0019718A">
        <w:rPr>
          <w:rFonts w:ascii="Arial" w:hAnsi="Arial" w:cs="Arial"/>
          <w:sz w:val="20"/>
          <w:szCs w:val="20"/>
        </w:rPr>
        <w:t>; 8: 36‒54.</w:t>
      </w:r>
    </w:p>
    <w:p w14:paraId="14C4E2BB"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proofErr w:type="spellStart"/>
      <w:r w:rsidRPr="0019718A">
        <w:rPr>
          <w:rFonts w:ascii="Arial" w:hAnsi="Arial" w:cs="Arial"/>
          <w:sz w:val="20"/>
          <w:szCs w:val="20"/>
          <w:lang w:val="en-ID"/>
        </w:rPr>
        <w:t>Roufosse</w:t>
      </w:r>
      <w:proofErr w:type="spellEnd"/>
      <w:r w:rsidRPr="0019718A">
        <w:rPr>
          <w:rFonts w:ascii="Arial" w:hAnsi="Arial" w:cs="Arial"/>
          <w:sz w:val="20"/>
          <w:szCs w:val="20"/>
          <w:lang w:val="en-ID"/>
        </w:rPr>
        <w:t xml:space="preserve"> F, Kahn JE, </w:t>
      </w:r>
      <w:proofErr w:type="spellStart"/>
      <w:r w:rsidRPr="0019718A">
        <w:rPr>
          <w:rFonts w:ascii="Arial" w:hAnsi="Arial" w:cs="Arial"/>
          <w:sz w:val="20"/>
          <w:szCs w:val="20"/>
          <w:lang w:val="en-ID"/>
        </w:rPr>
        <w:t>Killon</w:t>
      </w:r>
      <w:proofErr w:type="spellEnd"/>
      <w:r w:rsidRPr="0019718A">
        <w:rPr>
          <w:rFonts w:ascii="Arial" w:hAnsi="Arial" w:cs="Arial"/>
          <w:sz w:val="20"/>
          <w:szCs w:val="20"/>
          <w:lang w:val="en-ID"/>
        </w:rPr>
        <w:t xml:space="preserve"> AD. Efficacy and safety of mepolizumab in </w:t>
      </w:r>
      <w:proofErr w:type="spellStart"/>
      <w:r w:rsidRPr="0019718A">
        <w:rPr>
          <w:rFonts w:ascii="Arial" w:hAnsi="Arial" w:cs="Arial"/>
          <w:sz w:val="20"/>
          <w:szCs w:val="20"/>
          <w:lang w:val="en-ID"/>
        </w:rPr>
        <w:t>hypereosinophilic</w:t>
      </w:r>
      <w:proofErr w:type="spellEnd"/>
      <w:r w:rsidRPr="0019718A">
        <w:rPr>
          <w:rFonts w:ascii="Arial" w:hAnsi="Arial" w:cs="Arial"/>
          <w:sz w:val="20"/>
          <w:szCs w:val="20"/>
          <w:lang w:val="en-ID"/>
        </w:rPr>
        <w:t xml:space="preserve"> syndrome a phase III randomized </w:t>
      </w:r>
      <w:proofErr w:type="spellStart"/>
      <w:r w:rsidRPr="0019718A">
        <w:rPr>
          <w:rFonts w:ascii="Arial" w:hAnsi="Arial" w:cs="Arial"/>
          <w:sz w:val="20"/>
          <w:szCs w:val="20"/>
          <w:lang w:val="en-ID"/>
        </w:rPr>
        <w:t>pacebo</w:t>
      </w:r>
      <w:proofErr w:type="spellEnd"/>
      <w:r w:rsidRPr="0019718A">
        <w:rPr>
          <w:rFonts w:ascii="Arial" w:hAnsi="Arial" w:cs="Arial"/>
          <w:sz w:val="20"/>
          <w:szCs w:val="20"/>
          <w:lang w:val="en-ID"/>
        </w:rPr>
        <w:t xml:space="preserve"> controlled trial. </w:t>
      </w:r>
      <w:r w:rsidRPr="0019718A">
        <w:rPr>
          <w:rFonts w:ascii="Arial" w:hAnsi="Arial" w:cs="Arial"/>
          <w:i/>
          <w:iCs/>
          <w:sz w:val="20"/>
          <w:szCs w:val="20"/>
          <w:lang w:val="en-ID"/>
        </w:rPr>
        <w:t>Biologics and immunotherapy.</w:t>
      </w:r>
      <w:r w:rsidRPr="0019718A">
        <w:rPr>
          <w:rFonts w:ascii="Arial" w:hAnsi="Arial" w:cs="Arial"/>
          <w:sz w:val="20"/>
          <w:szCs w:val="20"/>
          <w:lang w:val="en-ID"/>
        </w:rPr>
        <w:t xml:space="preserve"> 2020</w:t>
      </w:r>
      <w:r w:rsidRPr="0019718A">
        <w:rPr>
          <w:rFonts w:ascii="Arial" w:hAnsi="Arial" w:cs="Arial"/>
          <w:sz w:val="20"/>
          <w:szCs w:val="20"/>
        </w:rPr>
        <w:t>; 10: 36‒49.</w:t>
      </w:r>
    </w:p>
    <w:p w14:paraId="603AE17F"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Khatri S, Moore W, Gibson PG. </w:t>
      </w:r>
      <w:proofErr w:type="spellStart"/>
      <w:r w:rsidRPr="0019718A">
        <w:rPr>
          <w:rFonts w:ascii="Arial" w:hAnsi="Arial" w:cs="Arial"/>
          <w:sz w:val="20"/>
          <w:szCs w:val="20"/>
          <w:lang w:val="en-ID"/>
        </w:rPr>
        <w:t>Asssessment</w:t>
      </w:r>
      <w:proofErr w:type="spellEnd"/>
      <w:r w:rsidRPr="0019718A">
        <w:rPr>
          <w:rFonts w:ascii="Arial" w:hAnsi="Arial" w:cs="Arial"/>
          <w:sz w:val="20"/>
          <w:szCs w:val="20"/>
          <w:lang w:val="en-ID"/>
        </w:rPr>
        <w:t xml:space="preserve"> of the long-term safety of mepolizumab and durability of clinical response in patients with severe eosinophilic asthma. </w:t>
      </w:r>
      <w:r w:rsidRPr="0019718A">
        <w:rPr>
          <w:rFonts w:ascii="Arial" w:hAnsi="Arial" w:cs="Arial"/>
          <w:i/>
          <w:iCs/>
          <w:sz w:val="20"/>
          <w:szCs w:val="20"/>
          <w:lang w:val="en-ID"/>
        </w:rPr>
        <w:t>Asthma and lower airway disease.</w:t>
      </w:r>
      <w:r w:rsidRPr="0019718A">
        <w:rPr>
          <w:rFonts w:ascii="Arial" w:hAnsi="Arial" w:cs="Arial"/>
          <w:sz w:val="20"/>
          <w:szCs w:val="20"/>
          <w:lang w:val="en-ID"/>
        </w:rPr>
        <w:t xml:space="preserve"> 2018</w:t>
      </w:r>
      <w:r w:rsidRPr="0019718A">
        <w:rPr>
          <w:rFonts w:ascii="Arial" w:hAnsi="Arial" w:cs="Arial"/>
          <w:sz w:val="20"/>
          <w:szCs w:val="20"/>
        </w:rPr>
        <w:t>; 81: 236‒49.</w:t>
      </w:r>
    </w:p>
    <w:p w14:paraId="4DE99C81" w14:textId="77777777" w:rsidR="0019718A" w:rsidRPr="0019718A" w:rsidRDefault="0019718A" w:rsidP="0019718A">
      <w:pPr>
        <w:pStyle w:val="BodyText"/>
        <w:numPr>
          <w:ilvl w:val="0"/>
          <w:numId w:val="5"/>
        </w:numPr>
        <w:spacing w:line="276" w:lineRule="auto"/>
        <w:ind w:left="450" w:right="-1"/>
        <w:jc w:val="both"/>
        <w:rPr>
          <w:rFonts w:ascii="Arial" w:hAnsi="Arial" w:cs="Arial"/>
          <w:i/>
          <w:iCs/>
          <w:sz w:val="20"/>
          <w:szCs w:val="20"/>
          <w:lang w:val="en-ID"/>
        </w:rPr>
      </w:pPr>
      <w:r w:rsidRPr="0019718A">
        <w:rPr>
          <w:rFonts w:ascii="Arial" w:hAnsi="Arial" w:cs="Arial"/>
          <w:sz w:val="20"/>
          <w:szCs w:val="20"/>
          <w:lang w:val="en-ID"/>
        </w:rPr>
        <w:t xml:space="preserve">Karp J, Dhillon I. Subcutaneous mepolizumab injection an adjunctive treatment for recalcitrant allergic fungal rhinosinusitis patients with asthma. </w:t>
      </w:r>
      <w:r w:rsidRPr="0019718A">
        <w:rPr>
          <w:rFonts w:ascii="Arial" w:hAnsi="Arial" w:cs="Arial"/>
          <w:i/>
          <w:iCs/>
          <w:sz w:val="20"/>
          <w:szCs w:val="20"/>
          <w:lang w:val="en-ID"/>
        </w:rPr>
        <w:t>American j of rhinology and allergy</w:t>
      </w:r>
      <w:r w:rsidRPr="0019718A">
        <w:rPr>
          <w:rFonts w:ascii="Arial" w:hAnsi="Arial" w:cs="Arial"/>
          <w:sz w:val="20"/>
          <w:szCs w:val="20"/>
          <w:lang w:val="en-ID"/>
        </w:rPr>
        <w:t>. 2020; 2: 1-8.</w:t>
      </w:r>
    </w:p>
    <w:p w14:paraId="1625D2C3"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Taille C, Chanez P, Didier A. Mepolizumab in a population with severe eosinophilic asthma and corticosteroid dependence. </w:t>
      </w:r>
      <w:r w:rsidRPr="0019718A">
        <w:rPr>
          <w:rFonts w:ascii="Arial" w:hAnsi="Arial" w:cs="Arial"/>
          <w:i/>
          <w:iCs/>
          <w:sz w:val="20"/>
          <w:szCs w:val="20"/>
          <w:lang w:val="en-ID"/>
        </w:rPr>
        <w:t xml:space="preserve">Original article asthma. </w:t>
      </w:r>
      <w:r w:rsidRPr="0019718A">
        <w:rPr>
          <w:rFonts w:ascii="Arial" w:hAnsi="Arial" w:cs="Arial"/>
          <w:sz w:val="20"/>
          <w:szCs w:val="20"/>
          <w:lang w:val="en-ID"/>
        </w:rPr>
        <w:t>2019</w:t>
      </w:r>
      <w:r w:rsidRPr="0019718A">
        <w:rPr>
          <w:rFonts w:ascii="Arial" w:hAnsi="Arial" w:cs="Arial"/>
          <w:sz w:val="20"/>
          <w:szCs w:val="20"/>
        </w:rPr>
        <w:t>; 9: 436‒49.</w:t>
      </w:r>
    </w:p>
    <w:p w14:paraId="44134AC5"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Harrison T, Canonica GW, Chupp G, Lee J. Real-world mepolizumab in the prospective severe asthma REALITI- a study. </w:t>
      </w:r>
      <w:r w:rsidRPr="0019718A">
        <w:rPr>
          <w:rFonts w:ascii="Arial" w:hAnsi="Arial" w:cs="Arial"/>
          <w:i/>
          <w:iCs/>
          <w:sz w:val="20"/>
          <w:szCs w:val="20"/>
          <w:lang w:val="en-ID"/>
        </w:rPr>
        <w:t>Original article asthma.</w:t>
      </w:r>
      <w:r w:rsidRPr="0019718A">
        <w:rPr>
          <w:rFonts w:ascii="Arial" w:hAnsi="Arial" w:cs="Arial"/>
          <w:sz w:val="20"/>
          <w:szCs w:val="20"/>
          <w:lang w:val="en-ID"/>
        </w:rPr>
        <w:t xml:space="preserve"> 2020</w:t>
      </w:r>
      <w:r w:rsidRPr="0019718A">
        <w:rPr>
          <w:rFonts w:ascii="Arial" w:hAnsi="Arial" w:cs="Arial"/>
          <w:sz w:val="20"/>
          <w:szCs w:val="20"/>
        </w:rPr>
        <w:t>; 19: 63‒79.</w:t>
      </w:r>
    </w:p>
    <w:p w14:paraId="33284FCB" w14:textId="77777777" w:rsidR="0019718A"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rPr>
        <w:t xml:space="preserve">Russell R, </w:t>
      </w:r>
      <w:proofErr w:type="spellStart"/>
      <w:r w:rsidRPr="0019718A">
        <w:rPr>
          <w:rFonts w:ascii="Arial" w:hAnsi="Arial" w:cs="Arial"/>
          <w:sz w:val="20"/>
          <w:szCs w:val="20"/>
          <w:lang w:val="en-ID"/>
        </w:rPr>
        <w:t>Brightling</w:t>
      </w:r>
      <w:proofErr w:type="spellEnd"/>
      <w:r w:rsidRPr="0019718A">
        <w:rPr>
          <w:rFonts w:ascii="Arial" w:hAnsi="Arial" w:cs="Arial"/>
          <w:sz w:val="20"/>
          <w:szCs w:val="20"/>
          <w:lang w:val="en-ID"/>
        </w:rPr>
        <w:t xml:space="preserve"> C. Mepolizumab for the reduction of exacerbations in severe eosinophilic asthma. </w:t>
      </w:r>
      <w:r w:rsidRPr="0019718A">
        <w:rPr>
          <w:rFonts w:ascii="Arial" w:hAnsi="Arial" w:cs="Arial"/>
          <w:i/>
          <w:iCs/>
          <w:sz w:val="20"/>
          <w:szCs w:val="20"/>
          <w:lang w:val="en-ID"/>
        </w:rPr>
        <w:t xml:space="preserve">Expert review of </w:t>
      </w:r>
      <w:proofErr w:type="spellStart"/>
      <w:r w:rsidRPr="0019718A">
        <w:rPr>
          <w:rFonts w:ascii="Arial" w:hAnsi="Arial" w:cs="Arial"/>
          <w:i/>
          <w:iCs/>
          <w:sz w:val="20"/>
          <w:szCs w:val="20"/>
          <w:lang w:val="en-ID"/>
        </w:rPr>
        <w:t>resp</w:t>
      </w:r>
      <w:proofErr w:type="spellEnd"/>
      <w:r w:rsidRPr="0019718A">
        <w:rPr>
          <w:rFonts w:ascii="Arial" w:hAnsi="Arial" w:cs="Arial"/>
          <w:i/>
          <w:iCs/>
          <w:sz w:val="20"/>
          <w:szCs w:val="20"/>
          <w:lang w:val="en-ID"/>
        </w:rPr>
        <w:t xml:space="preserve"> med. </w:t>
      </w:r>
      <w:r w:rsidRPr="0019718A">
        <w:rPr>
          <w:rFonts w:ascii="Arial" w:hAnsi="Arial" w:cs="Arial"/>
          <w:sz w:val="20"/>
          <w:szCs w:val="20"/>
          <w:lang w:val="en-ID"/>
        </w:rPr>
        <w:t>2016</w:t>
      </w:r>
      <w:r w:rsidRPr="0019718A">
        <w:rPr>
          <w:rFonts w:ascii="Arial" w:hAnsi="Arial" w:cs="Arial"/>
          <w:sz w:val="20"/>
          <w:szCs w:val="20"/>
        </w:rPr>
        <w:t>; 8: 31‒9.</w:t>
      </w:r>
    </w:p>
    <w:p w14:paraId="18E20366" w14:textId="2A1415A1" w:rsidR="009D3C9E" w:rsidRPr="0019718A" w:rsidRDefault="0019718A" w:rsidP="0019718A">
      <w:pPr>
        <w:pStyle w:val="BodyText"/>
        <w:numPr>
          <w:ilvl w:val="0"/>
          <w:numId w:val="5"/>
        </w:numPr>
        <w:spacing w:line="276" w:lineRule="auto"/>
        <w:ind w:left="450" w:right="-1"/>
        <w:jc w:val="both"/>
        <w:rPr>
          <w:rFonts w:ascii="Arial" w:hAnsi="Arial" w:cs="Arial"/>
          <w:sz w:val="20"/>
          <w:szCs w:val="20"/>
          <w:lang w:val="en-ID"/>
        </w:rPr>
      </w:pPr>
      <w:r w:rsidRPr="0019718A">
        <w:rPr>
          <w:rFonts w:ascii="Arial" w:hAnsi="Arial" w:cs="Arial"/>
          <w:sz w:val="20"/>
          <w:szCs w:val="20"/>
          <w:lang w:val="en-ID" w:eastAsia="en-ID"/>
        </w:rPr>
        <w:t xml:space="preserve">Ortega HG, Liu MC, </w:t>
      </w:r>
      <w:proofErr w:type="spellStart"/>
      <w:r w:rsidRPr="0019718A">
        <w:rPr>
          <w:rFonts w:ascii="Arial" w:hAnsi="Arial" w:cs="Arial"/>
          <w:sz w:val="20"/>
          <w:szCs w:val="20"/>
          <w:lang w:val="en-ID" w:eastAsia="en-ID"/>
        </w:rPr>
        <w:t>Pavord</w:t>
      </w:r>
      <w:proofErr w:type="spellEnd"/>
      <w:r w:rsidRPr="0019718A">
        <w:rPr>
          <w:rFonts w:ascii="Arial" w:hAnsi="Arial" w:cs="Arial"/>
          <w:sz w:val="20"/>
          <w:szCs w:val="20"/>
          <w:lang w:val="en-ID" w:eastAsia="en-ID"/>
        </w:rPr>
        <w:t xml:space="preserve"> ID, </w:t>
      </w:r>
      <w:proofErr w:type="spellStart"/>
      <w:r w:rsidRPr="0019718A">
        <w:rPr>
          <w:rFonts w:ascii="Arial" w:hAnsi="Arial" w:cs="Arial"/>
          <w:sz w:val="20"/>
          <w:szCs w:val="20"/>
          <w:lang w:val="en-ID" w:eastAsia="en-ID"/>
        </w:rPr>
        <w:t>Brusselle</w:t>
      </w:r>
      <w:proofErr w:type="spellEnd"/>
      <w:r w:rsidRPr="0019718A">
        <w:rPr>
          <w:rFonts w:ascii="Arial" w:hAnsi="Arial" w:cs="Arial"/>
          <w:sz w:val="20"/>
          <w:szCs w:val="20"/>
          <w:lang w:val="en-ID" w:eastAsia="en-ID"/>
        </w:rPr>
        <w:t xml:space="preserve"> GG, FitzGerald JM, Chetta A, et al.; MENSA Investigators. Mepolizumab treatment in patients with severe eosinophilic asthma. N Engl J Med. 2014; 371: 1198-207.</w:t>
      </w:r>
      <w:r w:rsidRPr="0019718A">
        <w:rPr>
          <w:rFonts w:ascii="Arial" w:hAnsi="Arial" w:cs="Arial"/>
          <w:sz w:val="20"/>
          <w:szCs w:val="20"/>
        </w:rPr>
        <w:t xml:space="preserve"> </w:t>
      </w:r>
    </w:p>
    <w:sectPr w:rsidR="009D3C9E" w:rsidRPr="0019718A" w:rsidSect="00F105D1">
      <w:headerReference w:type="first" r:id="rId21"/>
      <w:footerReference w:type="first" r:id="rId22"/>
      <w:type w:val="continuous"/>
      <w:pgSz w:w="11906" w:h="16838" w:code="9"/>
      <w:pgMar w:top="1418" w:right="907" w:bottom="868" w:left="96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0168B" w14:textId="77777777" w:rsidR="00D13622" w:rsidRDefault="00D13622" w:rsidP="00063037">
      <w:pPr>
        <w:spacing w:after="0" w:line="240" w:lineRule="auto"/>
      </w:pPr>
      <w:r>
        <w:separator/>
      </w:r>
    </w:p>
  </w:endnote>
  <w:endnote w:type="continuationSeparator" w:id="0">
    <w:p w14:paraId="411B4FD8" w14:textId="77777777" w:rsidR="00D13622" w:rsidRDefault="00D13622"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ungsuh">
    <w:altName w:val="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1FBB273A" w14:textId="77777777" w:rsidR="00CA3C5D" w:rsidRDefault="00CA3C5D" w:rsidP="00CA3C5D">
        <w:pPr>
          <w:pStyle w:val="Footer"/>
          <w:tabs>
            <w:tab w:val="clear" w:pos="4513"/>
            <w:tab w:val="clear" w:pos="9026"/>
          </w:tabs>
          <w:rPr>
            <w:rFonts w:ascii="Arial" w:hAnsi="Arial" w:cs="Arial"/>
            <w:sz w:val="16"/>
            <w:szCs w:val="16"/>
          </w:rPr>
        </w:pPr>
      </w:p>
      <w:p w14:paraId="52A65CCA" w14:textId="6526E20E" w:rsidR="009D3C9E"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859803"/>
      <w:docPartObj>
        <w:docPartGallery w:val="Page Numbers (Bottom of Page)"/>
        <w:docPartUnique/>
      </w:docPartObj>
    </w:sdtPr>
    <w:sdtEndPr>
      <w:rPr>
        <w:rFonts w:ascii="Arial" w:hAnsi="Arial" w:cs="Arial"/>
        <w:noProof/>
        <w:sz w:val="16"/>
      </w:rPr>
    </w:sdtEndPr>
    <w:sdtContent>
      <w:p w14:paraId="256FE375" w14:textId="77777777" w:rsidR="00CA3C5D" w:rsidRPr="00CA3C5D" w:rsidRDefault="00CA3C5D" w:rsidP="00CA3C5D">
        <w:pPr>
          <w:pStyle w:val="Footer"/>
          <w:tabs>
            <w:tab w:val="clear" w:pos="4513"/>
            <w:tab w:val="clear" w:pos="9026"/>
            <w:tab w:val="right" w:pos="9810"/>
          </w:tabs>
          <w:rPr>
            <w:rFonts w:ascii="Arial" w:hAnsi="Arial" w:cs="Arial"/>
            <w:sz w:val="16"/>
            <w:szCs w:val="16"/>
          </w:rPr>
        </w:pPr>
      </w:p>
      <w:p w14:paraId="2C8D6CEB" w14:textId="3A568D1A" w:rsidR="009D3C9E" w:rsidRPr="00CA3C5D" w:rsidRDefault="00CA3C5D"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3ADB493E" w14:textId="3498D427" w:rsidR="001A3AE6" w:rsidRDefault="001A3AE6" w:rsidP="001A3AE6">
        <w:pPr>
          <w:widowControl w:val="0"/>
          <w:autoSpaceDE w:val="0"/>
          <w:autoSpaceDN w:val="0"/>
          <w:adjustRightInd w:val="0"/>
          <w:spacing w:line="200" w:lineRule="exact"/>
          <w:ind w:right="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55E9BE4" wp14:editId="1EA8BD55">
                  <wp:simplePos x="0" y="0"/>
                  <wp:positionH relativeFrom="column">
                    <wp:posOffset>462280</wp:posOffset>
                  </wp:positionH>
                  <wp:positionV relativeFrom="paragraph">
                    <wp:posOffset>45720</wp:posOffset>
                  </wp:positionV>
                  <wp:extent cx="9144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wps:spPr>
                        <wps:txb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5E9BE4" id="_x0000_t202" coordsize="21600,21600" o:spt="202" path="m,l,21600r21600,l21600,xe">
                  <v:stroke joinstyle="miter"/>
                  <v:path gradientshapeok="t" o:connecttype="rect"/>
                </v:shapetype>
                <v:shape id="Text Box 9" o:spid="_x0000_s1027" type="#_x0000_t202" style="position:absolute;margin-left:36.4pt;margin-top:3.6pt;width:1in;height:19.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" filled="f" stroked="f" strokeweight=".5pt">
                  <v:textbo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w:t>
                        </w:r>
                        <w:proofErr w:type="spellStart"/>
                        <w:r w:rsidRPr="001A3AE6">
                          <w:rPr>
                            <w:rFonts w:ascii="Arial" w:hAnsi="Arial" w:cs="Arial"/>
                            <w:sz w:val="16"/>
                            <w:szCs w:val="16"/>
                          </w:rPr>
                          <w:t>NonCommercial</w:t>
                        </w:r>
                        <w:proofErr w:type="spellEnd"/>
                        <w:r w:rsidRPr="001A3AE6">
                          <w:rPr>
                            <w:rFonts w:ascii="Arial" w:hAnsi="Arial" w:cs="Arial"/>
                            <w:sz w:val="16"/>
                            <w:szCs w:val="16"/>
                          </w:rPr>
                          <w:t xml:space="preserve"> 4.0 International License</w:t>
                        </w:r>
                      </w:p>
                    </w:txbxContent>
                  </v:textbox>
                </v:shape>
              </w:pict>
            </mc:Fallback>
          </mc:AlternateContent>
        </w:r>
        <w:r>
          <w:rPr>
            <w:rFonts w:ascii="Verdana" w:hAnsi="Verdana"/>
            <w:noProof/>
            <w:color w:val="2D3092"/>
            <w:sz w:val="17"/>
            <w:szCs w:val="17"/>
            <w:shd w:val="clear" w:color="auto" w:fill="FFFFFF"/>
          </w:rPr>
          <w:drawing>
            <wp:anchor distT="0" distB="0" distL="114300" distR="114300" simplePos="0" relativeHeight="251658240" behindDoc="0" locked="0" layoutInCell="1" allowOverlap="1" wp14:anchorId="77F2C29B" wp14:editId="32155F1E">
              <wp:simplePos x="0" y="0"/>
              <wp:positionH relativeFrom="column">
                <wp:posOffset>-2540</wp:posOffset>
              </wp:positionH>
              <wp:positionV relativeFrom="paragraph">
                <wp:posOffset>53340</wp:posOffset>
              </wp:positionV>
              <wp:extent cx="544830" cy="193167"/>
              <wp:effectExtent l="0" t="0" r="7620" b="0"/>
              <wp:wrapNone/>
              <wp:docPr id="1" name="Picture 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8F9FB" w14:textId="77777777" w:rsidR="001A3AE6" w:rsidRDefault="001A3AE6" w:rsidP="00CA3C5D">
        <w:pPr>
          <w:pStyle w:val="Footer"/>
          <w:tabs>
            <w:tab w:val="clear" w:pos="4513"/>
            <w:tab w:val="clear" w:pos="9026"/>
            <w:tab w:val="right" w:pos="9810"/>
          </w:tabs>
          <w:rPr>
            <w:rFonts w:ascii="Arial" w:hAnsi="Arial" w:cs="Arial"/>
            <w:i/>
            <w:iCs/>
            <w:color w:val="363435"/>
            <w:sz w:val="16"/>
            <w:szCs w:val="16"/>
          </w:rPr>
        </w:pPr>
      </w:p>
      <w:p w14:paraId="5439C5A1" w14:textId="17DE8A36" w:rsidR="009D3C9E" w:rsidRPr="00063037" w:rsidRDefault="009D3C9E"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sidR="00CA3C5D">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E89C8" w14:textId="77777777" w:rsidR="00D13622" w:rsidRDefault="00D13622" w:rsidP="00063037">
      <w:pPr>
        <w:spacing w:after="0" w:line="240" w:lineRule="auto"/>
      </w:pPr>
      <w:r>
        <w:separator/>
      </w:r>
    </w:p>
  </w:footnote>
  <w:footnote w:type="continuationSeparator" w:id="0">
    <w:p w14:paraId="3392C368" w14:textId="77777777" w:rsidR="00D13622" w:rsidRDefault="00D13622"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6191" w14:textId="02FF74CB" w:rsidR="009D3C9E" w:rsidRPr="00063037" w:rsidRDefault="005B2218"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Dewi Wijaya: Mepolizumab’s (Anti-Interleukin-5) Role in Asthma: A Literature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9691" w14:textId="77777777" w:rsidR="00AC42E0" w:rsidRPr="00063037" w:rsidRDefault="00AC42E0" w:rsidP="00AC42E0">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Dewi Wijaya: Mepolizumab’s (Anti-Interleukin-5) Role in Asthma: A Literature Review</w:t>
    </w:r>
  </w:p>
  <w:p w14:paraId="3EB18192" w14:textId="77777777" w:rsidR="009D3C9E" w:rsidRDefault="009D3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1F29" w14:textId="77777777" w:rsidR="00CA3C5D" w:rsidRPr="00063037" w:rsidRDefault="00CA3C5D" w:rsidP="00CA3C5D">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688A1395" w14:textId="77777777" w:rsidR="00CA3C5D" w:rsidRDefault="00CA3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415D5A4E"/>
    <w:multiLevelType w:val="hybridMultilevel"/>
    <w:tmpl w:val="B9FEBF22"/>
    <w:lvl w:ilvl="0" w:tplc="3C747D72">
      <w:start w:val="1"/>
      <w:numFmt w:val="decimal"/>
      <w:lvlText w:val="%1."/>
      <w:lvlJc w:val="left"/>
      <w:pPr>
        <w:ind w:left="720" w:hanging="360"/>
      </w:pPr>
      <w:rPr>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3977503"/>
    <w:multiLevelType w:val="hybridMultilevel"/>
    <w:tmpl w:val="BB08D988"/>
    <w:lvl w:ilvl="0" w:tplc="BC92B292">
      <w:start w:val="1"/>
      <w:numFmt w:val="decimal"/>
      <w:lvlText w:val="%1."/>
      <w:lvlJc w:val="left"/>
      <w:pPr>
        <w:ind w:left="666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3333760">
    <w:abstractNumId w:val="3"/>
  </w:num>
  <w:num w:numId="2" w16cid:durableId="1702392337">
    <w:abstractNumId w:val="0"/>
  </w:num>
  <w:num w:numId="3" w16cid:durableId="776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402094">
    <w:abstractNumId w:val="1"/>
  </w:num>
  <w:num w:numId="5" w16cid:durableId="73282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06537"/>
    <w:rsid w:val="000164A8"/>
    <w:rsid w:val="00063037"/>
    <w:rsid w:val="00080C55"/>
    <w:rsid w:val="000C6334"/>
    <w:rsid w:val="000F6146"/>
    <w:rsid w:val="001064E0"/>
    <w:rsid w:val="00126CEE"/>
    <w:rsid w:val="0019718A"/>
    <w:rsid w:val="001A3AE6"/>
    <w:rsid w:val="002E16B0"/>
    <w:rsid w:val="003754C0"/>
    <w:rsid w:val="003761CC"/>
    <w:rsid w:val="003D7ED6"/>
    <w:rsid w:val="00440BDE"/>
    <w:rsid w:val="00466D11"/>
    <w:rsid w:val="004764CC"/>
    <w:rsid w:val="00500B0F"/>
    <w:rsid w:val="00504C0B"/>
    <w:rsid w:val="00556E5C"/>
    <w:rsid w:val="005B2218"/>
    <w:rsid w:val="005F72EA"/>
    <w:rsid w:val="00625A2F"/>
    <w:rsid w:val="0067787F"/>
    <w:rsid w:val="006C25CD"/>
    <w:rsid w:val="00721D2C"/>
    <w:rsid w:val="007D36F2"/>
    <w:rsid w:val="008556D6"/>
    <w:rsid w:val="00951857"/>
    <w:rsid w:val="009A0AC3"/>
    <w:rsid w:val="009D3C9E"/>
    <w:rsid w:val="00A003D3"/>
    <w:rsid w:val="00A80A3E"/>
    <w:rsid w:val="00A94E64"/>
    <w:rsid w:val="00AC42E0"/>
    <w:rsid w:val="00AD3CB1"/>
    <w:rsid w:val="00B3655F"/>
    <w:rsid w:val="00BB5989"/>
    <w:rsid w:val="00C31A18"/>
    <w:rsid w:val="00C3615D"/>
    <w:rsid w:val="00C66728"/>
    <w:rsid w:val="00C93018"/>
    <w:rsid w:val="00CA3C5D"/>
    <w:rsid w:val="00D13622"/>
    <w:rsid w:val="00D56510"/>
    <w:rsid w:val="00D63438"/>
    <w:rsid w:val="00D815E3"/>
    <w:rsid w:val="00DA7975"/>
    <w:rsid w:val="00E2408E"/>
    <w:rsid w:val="00E344E0"/>
    <w:rsid w:val="00E429CC"/>
    <w:rsid w:val="00E86508"/>
    <w:rsid w:val="00EB5824"/>
    <w:rsid w:val="00EC49FC"/>
    <w:rsid w:val="00ED7750"/>
    <w:rsid w:val="00F105D1"/>
    <w:rsid w:val="00F53F8F"/>
    <w:rsid w:val="00F7354B"/>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paragraph" w:styleId="Heading1">
    <w:name w:val="heading 1"/>
    <w:basedOn w:val="Normal"/>
    <w:next w:val="Normal"/>
    <w:link w:val="Heading1Char"/>
    <w:uiPriority w:val="9"/>
    <w:qFormat/>
    <w:rsid w:val="0019718A"/>
    <w:pPr>
      <w:keepNext/>
      <w:keepLines/>
      <w:spacing w:before="240" w:after="0" w:line="360" w:lineRule="auto"/>
      <w:jc w:val="both"/>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character" w:customStyle="1" w:styleId="Heading1Char">
    <w:name w:val="Heading 1 Char"/>
    <w:basedOn w:val="DefaultParagraphFont"/>
    <w:link w:val="Heading1"/>
    <w:uiPriority w:val="9"/>
    <w:rsid w:val="0019718A"/>
    <w:rPr>
      <w:rFonts w:ascii="Times New Roman" w:eastAsiaTheme="majorEastAsia" w:hAnsi="Times New Roman" w:cstheme="majorBidi"/>
      <w:b/>
      <w:sz w:val="24"/>
      <w:szCs w:val="32"/>
    </w:rPr>
  </w:style>
  <w:style w:type="character" w:customStyle="1" w:styleId="ListParagraphChar">
    <w:name w:val="List Paragraph Char"/>
    <w:link w:val="ListParagraph"/>
    <w:uiPriority w:val="34"/>
    <w:rsid w:val="0019718A"/>
    <w:rPr>
      <w:rFonts w:ascii="Calibri" w:eastAsia="Calibri" w:hAnsi="Calibri" w:cs="Times New Roman"/>
      <w:lang w:val="id-ID"/>
    </w:rPr>
  </w:style>
  <w:style w:type="paragraph" w:styleId="BodyText">
    <w:name w:val="Body Text"/>
    <w:basedOn w:val="Normal"/>
    <w:link w:val="BodyTextChar"/>
    <w:uiPriority w:val="1"/>
    <w:qFormat/>
    <w:rsid w:val="0019718A"/>
    <w:pPr>
      <w:widowControl w:val="0"/>
      <w:autoSpaceDE w:val="0"/>
      <w:autoSpaceDN w:val="0"/>
      <w:spacing w:after="0" w:line="240" w:lineRule="auto"/>
    </w:pPr>
    <w:rPr>
      <w:rFonts w:ascii="Times New Roman" w:eastAsia="Times New Roman" w:hAnsi="Times New Roman"/>
      <w:sz w:val="24"/>
      <w:szCs w:val="24"/>
      <w:lang w:val="en-US" w:eastAsia="en-US"/>
    </w:rPr>
  </w:style>
  <w:style w:type="character" w:customStyle="1" w:styleId="BodyTextChar">
    <w:name w:val="Body Text Char"/>
    <w:basedOn w:val="DefaultParagraphFont"/>
    <w:link w:val="BodyText"/>
    <w:uiPriority w:val="1"/>
    <w:rsid w:val="0019718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doi.org/10.36497/respirsci.v1i2.20"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copus.com/author/profile/feedback.uri?authorId=57193061752&amp;orcid=true&amp;origin=AuthorProfile" TargetMode="Externa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4951</Words>
  <Characters>28227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Asus -</cp:lastModifiedBy>
  <cp:revision>4</cp:revision>
  <cp:lastPrinted>2022-06-16T07:22:00Z</cp:lastPrinted>
  <dcterms:created xsi:type="dcterms:W3CDTF">2023-04-29T07:08:00Z</dcterms:created>
  <dcterms:modified xsi:type="dcterms:W3CDTF">2023-04-29T13:28:00Z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d36cc6b62b06834bf50905999710843ac71d0164cb249c14b11d54788fad9cda</vt:lpwstr>
  </property>
</Properties>
</file>